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89"/>
        <w:gridCol w:w="2307"/>
        <w:gridCol w:w="1371"/>
        <w:gridCol w:w="1389"/>
        <w:gridCol w:w="1357"/>
      </w:tblGrid>
      <w:tr w:rsidR="00E908F2" w:rsidRPr="00D20B82" w14:paraId="2AC89C82" w14:textId="77777777" w:rsidTr="00E908F2">
        <w:tc>
          <w:tcPr>
            <w:tcW w:w="1389" w:type="dxa"/>
          </w:tcPr>
          <w:p w14:paraId="20200C99" w14:textId="45412B93" w:rsidR="00E908F2" w:rsidRPr="00D20B82" w:rsidRDefault="00E908F2" w:rsidP="00F35074">
            <w:pPr>
              <w:jc w:val="both"/>
            </w:pPr>
            <w:r w:rsidRPr="00D20B82">
              <w:t>Solutions</w:t>
            </w:r>
          </w:p>
        </w:tc>
        <w:tc>
          <w:tcPr>
            <w:tcW w:w="2307" w:type="dxa"/>
          </w:tcPr>
          <w:p w14:paraId="08900CA6" w14:textId="47B87A73" w:rsidR="00E908F2" w:rsidRPr="00D20B82" w:rsidRDefault="00E908F2" w:rsidP="00F35074">
            <w:pPr>
              <w:jc w:val="both"/>
            </w:pPr>
            <w:r w:rsidRPr="00D20B82">
              <w:t>Technologies</w:t>
            </w:r>
            <w:r>
              <w:t>/Platforms</w:t>
            </w:r>
          </w:p>
        </w:tc>
        <w:tc>
          <w:tcPr>
            <w:tcW w:w="1371" w:type="dxa"/>
          </w:tcPr>
          <w:p w14:paraId="0F1D59EA" w14:textId="597528C9" w:rsidR="00E908F2" w:rsidRPr="00D20B82" w:rsidRDefault="00E908F2" w:rsidP="00F35074">
            <w:pPr>
              <w:jc w:val="both"/>
            </w:pPr>
            <w:r>
              <w:t>Partners</w:t>
            </w:r>
          </w:p>
        </w:tc>
        <w:tc>
          <w:tcPr>
            <w:tcW w:w="1389" w:type="dxa"/>
          </w:tcPr>
          <w:p w14:paraId="740F0F11" w14:textId="50EF00BD" w:rsidR="00E908F2" w:rsidRPr="00D20B82" w:rsidRDefault="00E908F2" w:rsidP="00F35074">
            <w:pPr>
              <w:jc w:val="both"/>
            </w:pPr>
            <w:r>
              <w:t>Resource Center</w:t>
            </w:r>
          </w:p>
        </w:tc>
        <w:tc>
          <w:tcPr>
            <w:tcW w:w="1357" w:type="dxa"/>
          </w:tcPr>
          <w:p w14:paraId="00C1EDB3" w14:textId="4BA899CA" w:rsidR="00E908F2" w:rsidRPr="00D20B82" w:rsidRDefault="00E908F2" w:rsidP="00F35074">
            <w:pPr>
              <w:jc w:val="both"/>
            </w:pPr>
            <w:r>
              <w:t>About us</w:t>
            </w:r>
          </w:p>
        </w:tc>
      </w:tr>
    </w:tbl>
    <w:p w14:paraId="4C80C6D2" w14:textId="0B726EA1" w:rsidR="004510AD" w:rsidRDefault="004510AD" w:rsidP="00F35074">
      <w:pPr>
        <w:jc w:val="both"/>
      </w:pPr>
    </w:p>
    <w:tbl>
      <w:tblPr>
        <w:tblStyle w:val="TableGrid"/>
        <w:tblW w:w="9067" w:type="dxa"/>
        <w:tblLayout w:type="fixed"/>
        <w:tblLook w:val="04A0" w:firstRow="1" w:lastRow="0" w:firstColumn="1" w:lastColumn="0" w:noHBand="0" w:noVBand="1"/>
      </w:tblPr>
      <w:tblGrid>
        <w:gridCol w:w="1366"/>
        <w:gridCol w:w="1464"/>
        <w:gridCol w:w="2127"/>
        <w:gridCol w:w="2409"/>
        <w:gridCol w:w="1701"/>
      </w:tblGrid>
      <w:tr w:rsidR="004753F2" w:rsidRPr="00D20B82" w14:paraId="6062594C" w14:textId="77777777" w:rsidTr="00236086">
        <w:tc>
          <w:tcPr>
            <w:tcW w:w="1366" w:type="dxa"/>
            <w:shd w:val="clear" w:color="auto" w:fill="auto"/>
          </w:tcPr>
          <w:p w14:paraId="468AEF5A" w14:textId="77777777" w:rsidR="004753F2" w:rsidRPr="002E5E53" w:rsidRDefault="004753F2" w:rsidP="004753F2">
            <w:pPr>
              <w:jc w:val="center"/>
              <w:rPr>
                <w:b/>
                <w:bCs/>
              </w:rPr>
            </w:pPr>
            <w:r w:rsidRPr="002E5E53">
              <w:rPr>
                <w:b/>
                <w:bCs/>
              </w:rPr>
              <w:t>Solutions</w:t>
            </w:r>
          </w:p>
        </w:tc>
        <w:tc>
          <w:tcPr>
            <w:tcW w:w="1464" w:type="dxa"/>
            <w:shd w:val="clear" w:color="auto" w:fill="auto"/>
          </w:tcPr>
          <w:p w14:paraId="5B0D26C3" w14:textId="77777777" w:rsidR="004753F2" w:rsidRPr="002E5E53" w:rsidRDefault="004753F2" w:rsidP="004753F2">
            <w:pPr>
              <w:jc w:val="center"/>
              <w:rPr>
                <w:b/>
                <w:bCs/>
              </w:rPr>
            </w:pPr>
            <w:r w:rsidRPr="002E5E53">
              <w:rPr>
                <w:b/>
                <w:bCs/>
              </w:rPr>
              <w:t>Technologies/Platforms</w:t>
            </w:r>
          </w:p>
        </w:tc>
        <w:tc>
          <w:tcPr>
            <w:tcW w:w="2127" w:type="dxa"/>
            <w:shd w:val="clear" w:color="auto" w:fill="auto"/>
          </w:tcPr>
          <w:p w14:paraId="44DE007C" w14:textId="77777777" w:rsidR="004753F2" w:rsidRPr="002E5E53" w:rsidRDefault="004753F2" w:rsidP="004753F2">
            <w:pPr>
              <w:jc w:val="center"/>
              <w:rPr>
                <w:b/>
                <w:bCs/>
              </w:rPr>
            </w:pPr>
            <w:r w:rsidRPr="002E5E53">
              <w:rPr>
                <w:b/>
                <w:bCs/>
              </w:rPr>
              <w:t>Partners</w:t>
            </w:r>
          </w:p>
        </w:tc>
        <w:tc>
          <w:tcPr>
            <w:tcW w:w="2409" w:type="dxa"/>
            <w:shd w:val="clear" w:color="auto" w:fill="auto"/>
          </w:tcPr>
          <w:p w14:paraId="13C57BC7" w14:textId="77777777" w:rsidR="004753F2" w:rsidRPr="002E5E53" w:rsidRDefault="004753F2" w:rsidP="004753F2">
            <w:pPr>
              <w:jc w:val="center"/>
              <w:rPr>
                <w:b/>
                <w:bCs/>
              </w:rPr>
            </w:pPr>
            <w:r w:rsidRPr="002E5E53">
              <w:rPr>
                <w:b/>
                <w:bCs/>
              </w:rPr>
              <w:t>Resource Center</w:t>
            </w:r>
          </w:p>
        </w:tc>
        <w:tc>
          <w:tcPr>
            <w:tcW w:w="1701" w:type="dxa"/>
            <w:shd w:val="clear" w:color="auto" w:fill="auto"/>
          </w:tcPr>
          <w:p w14:paraId="1A2A35E5" w14:textId="7F26E17D" w:rsidR="004753F2" w:rsidRPr="002E5E53" w:rsidRDefault="004753F2" w:rsidP="004753F2">
            <w:pPr>
              <w:jc w:val="center"/>
              <w:rPr>
                <w:b/>
                <w:bCs/>
              </w:rPr>
            </w:pPr>
            <w:r>
              <w:rPr>
                <w:b/>
                <w:bCs/>
              </w:rPr>
              <w:t>About</w:t>
            </w:r>
            <w:r w:rsidRPr="002E5E53">
              <w:rPr>
                <w:b/>
                <w:bCs/>
              </w:rPr>
              <w:t xml:space="preserve"> us</w:t>
            </w:r>
          </w:p>
        </w:tc>
      </w:tr>
      <w:tr w:rsidR="005F45E6" w:rsidRPr="00D20B82" w14:paraId="7BF12DAF" w14:textId="77777777" w:rsidTr="00236086">
        <w:tc>
          <w:tcPr>
            <w:tcW w:w="1366" w:type="dxa"/>
          </w:tcPr>
          <w:p w14:paraId="01D0F997" w14:textId="43D9C522" w:rsidR="005F45E6" w:rsidRDefault="005F45E6" w:rsidP="005F45E6">
            <w:pPr>
              <w:jc w:val="both"/>
            </w:pPr>
            <w:r>
              <w:t>R&amp;D</w:t>
            </w:r>
          </w:p>
        </w:tc>
        <w:tc>
          <w:tcPr>
            <w:tcW w:w="1464" w:type="dxa"/>
          </w:tcPr>
          <w:p w14:paraId="4903B6C0" w14:textId="46EAD3A7" w:rsidR="005F45E6" w:rsidRDefault="005F45E6" w:rsidP="005F45E6">
            <w:pPr>
              <w:jc w:val="both"/>
            </w:pPr>
            <w:r>
              <w:rPr>
                <w:rStyle w:val="normaltextrun"/>
                <w:rFonts w:ascii="Calibri" w:hAnsi="Calibri" w:cs="Calibri"/>
              </w:rPr>
              <w:t>PPM</w:t>
            </w:r>
            <w:r>
              <w:rPr>
                <w:rStyle w:val="eop"/>
                <w:rFonts w:ascii="Calibri" w:hAnsi="Calibri" w:cs="Calibri"/>
              </w:rPr>
              <w:t> </w:t>
            </w:r>
          </w:p>
        </w:tc>
        <w:tc>
          <w:tcPr>
            <w:tcW w:w="2127" w:type="dxa"/>
          </w:tcPr>
          <w:p w14:paraId="00A5E3BC" w14:textId="73DD9499" w:rsidR="005F45E6" w:rsidRDefault="005F45E6" w:rsidP="005F45E6">
            <w:pPr>
              <w:jc w:val="both"/>
            </w:pPr>
            <w:r>
              <w:t>Partners</w:t>
            </w:r>
          </w:p>
        </w:tc>
        <w:tc>
          <w:tcPr>
            <w:tcW w:w="2409" w:type="dxa"/>
          </w:tcPr>
          <w:p w14:paraId="771E5845" w14:textId="77777777" w:rsidR="005F45E6" w:rsidRDefault="005F45E6" w:rsidP="005F45E6">
            <w:pPr>
              <w:jc w:val="both"/>
            </w:pPr>
          </w:p>
        </w:tc>
        <w:tc>
          <w:tcPr>
            <w:tcW w:w="1701" w:type="dxa"/>
          </w:tcPr>
          <w:p w14:paraId="622D3904" w14:textId="40F8737B" w:rsidR="005F45E6" w:rsidRDefault="005F45E6" w:rsidP="005F45E6">
            <w:pPr>
              <w:jc w:val="both"/>
            </w:pPr>
            <w:r>
              <w:t>Our story</w:t>
            </w:r>
          </w:p>
        </w:tc>
      </w:tr>
      <w:tr w:rsidR="005F45E6" w:rsidRPr="00D20B82" w14:paraId="66533521" w14:textId="77777777" w:rsidTr="00236086">
        <w:tc>
          <w:tcPr>
            <w:tcW w:w="1366" w:type="dxa"/>
          </w:tcPr>
          <w:p w14:paraId="76786151" w14:textId="146C7688" w:rsidR="005F45E6" w:rsidRPr="00D20B82" w:rsidRDefault="005F45E6" w:rsidP="005F45E6">
            <w:pPr>
              <w:jc w:val="both"/>
            </w:pPr>
            <w:r>
              <w:t>Commercial</w:t>
            </w:r>
          </w:p>
        </w:tc>
        <w:tc>
          <w:tcPr>
            <w:tcW w:w="1464" w:type="dxa"/>
          </w:tcPr>
          <w:p w14:paraId="033A62BB" w14:textId="0EA2CAEA" w:rsidR="005F45E6" w:rsidRPr="00D20B82" w:rsidRDefault="005F45E6" w:rsidP="005F45E6">
            <w:pPr>
              <w:jc w:val="both"/>
            </w:pPr>
            <w:r>
              <w:rPr>
                <w:rStyle w:val="normaltextrun"/>
                <w:rFonts w:ascii="Calibri" w:hAnsi="Calibri" w:cs="Calibri"/>
              </w:rPr>
              <w:t>AI/ML</w:t>
            </w:r>
            <w:r>
              <w:rPr>
                <w:rStyle w:val="eop"/>
                <w:rFonts w:ascii="Calibri" w:hAnsi="Calibri" w:cs="Calibri"/>
              </w:rPr>
              <w:t> </w:t>
            </w:r>
          </w:p>
        </w:tc>
        <w:tc>
          <w:tcPr>
            <w:tcW w:w="2127" w:type="dxa"/>
          </w:tcPr>
          <w:p w14:paraId="44D6BD18" w14:textId="169AA174" w:rsidR="005F45E6" w:rsidRDefault="005F45E6" w:rsidP="005F45E6">
            <w:pPr>
              <w:jc w:val="both"/>
            </w:pPr>
            <w:r>
              <w:t>Why partner with us?</w:t>
            </w:r>
          </w:p>
        </w:tc>
        <w:tc>
          <w:tcPr>
            <w:tcW w:w="2409" w:type="dxa"/>
          </w:tcPr>
          <w:p w14:paraId="7D212D63" w14:textId="1BB85B98" w:rsidR="005F45E6" w:rsidRDefault="005F45E6" w:rsidP="005F45E6">
            <w:pPr>
              <w:jc w:val="both"/>
            </w:pPr>
            <w:r>
              <w:t>Industry Primers</w:t>
            </w:r>
          </w:p>
        </w:tc>
        <w:tc>
          <w:tcPr>
            <w:tcW w:w="1701" w:type="dxa"/>
          </w:tcPr>
          <w:p w14:paraId="7CD72FD7" w14:textId="1673179E" w:rsidR="005F45E6" w:rsidRDefault="005F45E6" w:rsidP="005F45E6">
            <w:pPr>
              <w:jc w:val="both"/>
            </w:pPr>
            <w:r>
              <w:t>Leadership</w:t>
            </w:r>
          </w:p>
        </w:tc>
      </w:tr>
      <w:tr w:rsidR="005F45E6" w:rsidRPr="00D20B82" w14:paraId="3BA03F94" w14:textId="77777777" w:rsidTr="00236086">
        <w:tc>
          <w:tcPr>
            <w:tcW w:w="1366" w:type="dxa"/>
          </w:tcPr>
          <w:p w14:paraId="0FEC0794" w14:textId="2008C829" w:rsidR="005F45E6" w:rsidRPr="00510DB0" w:rsidRDefault="005F45E6" w:rsidP="005F45E6">
            <w:pPr>
              <w:jc w:val="both"/>
              <w:rPr>
                <w:strike/>
              </w:rPr>
            </w:pPr>
            <w:r w:rsidRPr="00510DB0">
              <w:rPr>
                <w:strike/>
              </w:rPr>
              <w:t>TA – Oncology</w:t>
            </w:r>
          </w:p>
          <w:p w14:paraId="6B7DB839" w14:textId="77777777" w:rsidR="005F45E6" w:rsidRPr="00510DB0" w:rsidRDefault="005F45E6" w:rsidP="005F45E6">
            <w:pPr>
              <w:jc w:val="both"/>
              <w:rPr>
                <w:strike/>
              </w:rPr>
            </w:pPr>
            <w:r w:rsidRPr="00510DB0">
              <w:rPr>
                <w:strike/>
              </w:rPr>
              <w:t>Vaccines</w:t>
            </w:r>
          </w:p>
          <w:p w14:paraId="5EEA34E7" w14:textId="22B87B79" w:rsidR="005F45E6" w:rsidRPr="00D20B82" w:rsidRDefault="005F45E6" w:rsidP="005F45E6">
            <w:pPr>
              <w:jc w:val="both"/>
            </w:pPr>
            <w:r w:rsidRPr="00510DB0">
              <w:rPr>
                <w:strike/>
              </w:rPr>
              <w:t>Infectious</w:t>
            </w:r>
            <w:r>
              <w:t xml:space="preserve"> </w:t>
            </w:r>
          </w:p>
        </w:tc>
        <w:tc>
          <w:tcPr>
            <w:tcW w:w="1464" w:type="dxa"/>
          </w:tcPr>
          <w:p w14:paraId="59FC5C94" w14:textId="743F6354" w:rsidR="005F45E6" w:rsidRPr="00D20B82" w:rsidRDefault="005F45E6" w:rsidP="005F45E6">
            <w:pPr>
              <w:jc w:val="both"/>
            </w:pPr>
            <w:r>
              <w:rPr>
                <w:rStyle w:val="normaltextrun"/>
                <w:rFonts w:ascii="Calibri" w:hAnsi="Calibri" w:cs="Calibri"/>
              </w:rPr>
              <w:t>Cloud</w:t>
            </w:r>
            <w:r>
              <w:rPr>
                <w:rStyle w:val="eop"/>
                <w:rFonts w:ascii="Calibri" w:hAnsi="Calibri" w:cs="Calibri"/>
              </w:rPr>
              <w:t> </w:t>
            </w:r>
          </w:p>
        </w:tc>
        <w:tc>
          <w:tcPr>
            <w:tcW w:w="2127" w:type="dxa"/>
          </w:tcPr>
          <w:p w14:paraId="497B5EFE" w14:textId="12D2CCD2" w:rsidR="005F45E6" w:rsidRDefault="005F45E6" w:rsidP="005F45E6">
            <w:pPr>
              <w:jc w:val="both"/>
            </w:pPr>
          </w:p>
        </w:tc>
        <w:tc>
          <w:tcPr>
            <w:tcW w:w="2409" w:type="dxa"/>
          </w:tcPr>
          <w:p w14:paraId="1CF8089F" w14:textId="2769082D" w:rsidR="005F45E6" w:rsidRDefault="005F45E6" w:rsidP="005F45E6">
            <w:pPr>
              <w:jc w:val="both"/>
            </w:pPr>
            <w:r>
              <w:t>Blog</w:t>
            </w:r>
          </w:p>
        </w:tc>
        <w:tc>
          <w:tcPr>
            <w:tcW w:w="1701" w:type="dxa"/>
          </w:tcPr>
          <w:p w14:paraId="726F8723" w14:textId="585DCB62" w:rsidR="005F45E6" w:rsidRDefault="005F45E6" w:rsidP="005F45E6">
            <w:pPr>
              <w:jc w:val="both"/>
            </w:pPr>
            <w:r>
              <w:t>Board</w:t>
            </w:r>
          </w:p>
        </w:tc>
      </w:tr>
      <w:tr w:rsidR="005F45E6" w:rsidRPr="00D20B82" w14:paraId="16F2C9E9" w14:textId="77777777" w:rsidTr="00236086">
        <w:tc>
          <w:tcPr>
            <w:tcW w:w="1366" w:type="dxa"/>
          </w:tcPr>
          <w:p w14:paraId="20283C1F" w14:textId="77777777" w:rsidR="005F45E6" w:rsidRDefault="005F45E6" w:rsidP="005F45E6">
            <w:pPr>
              <w:jc w:val="both"/>
            </w:pPr>
          </w:p>
        </w:tc>
        <w:tc>
          <w:tcPr>
            <w:tcW w:w="1464" w:type="dxa"/>
          </w:tcPr>
          <w:p w14:paraId="42972197" w14:textId="2F4E751C" w:rsidR="005F45E6" w:rsidRPr="00D20B82" w:rsidRDefault="005F45E6" w:rsidP="005F45E6">
            <w:pPr>
              <w:jc w:val="both"/>
            </w:pPr>
            <w:r>
              <w:rPr>
                <w:rStyle w:val="normaltextrun"/>
                <w:rFonts w:ascii="Calibri" w:hAnsi="Calibri" w:cs="Calibri"/>
              </w:rPr>
              <w:t>Big Data</w:t>
            </w:r>
            <w:r>
              <w:rPr>
                <w:rStyle w:val="eop"/>
                <w:rFonts w:ascii="Calibri" w:hAnsi="Calibri" w:cs="Calibri"/>
              </w:rPr>
              <w:t> </w:t>
            </w:r>
          </w:p>
        </w:tc>
        <w:tc>
          <w:tcPr>
            <w:tcW w:w="2127" w:type="dxa"/>
          </w:tcPr>
          <w:p w14:paraId="37158EDD" w14:textId="77777777" w:rsidR="005F45E6" w:rsidRDefault="005F45E6" w:rsidP="005F45E6">
            <w:pPr>
              <w:jc w:val="both"/>
            </w:pPr>
          </w:p>
        </w:tc>
        <w:tc>
          <w:tcPr>
            <w:tcW w:w="2409" w:type="dxa"/>
          </w:tcPr>
          <w:p w14:paraId="511672C6" w14:textId="0E0356A3" w:rsidR="005F45E6" w:rsidRDefault="005F45E6" w:rsidP="005F45E6">
            <w:pPr>
              <w:jc w:val="both"/>
            </w:pPr>
            <w:r>
              <w:t>AI Lab</w:t>
            </w:r>
          </w:p>
        </w:tc>
        <w:tc>
          <w:tcPr>
            <w:tcW w:w="1701" w:type="dxa"/>
          </w:tcPr>
          <w:p w14:paraId="653E0280" w14:textId="21505747" w:rsidR="005F45E6" w:rsidRDefault="005F45E6" w:rsidP="005F45E6">
            <w:pPr>
              <w:jc w:val="both"/>
            </w:pPr>
            <w:r>
              <w:t>Compliance</w:t>
            </w:r>
          </w:p>
        </w:tc>
      </w:tr>
      <w:tr w:rsidR="005F45E6" w:rsidRPr="00D20B82" w14:paraId="2D2E7E59" w14:textId="77777777" w:rsidTr="00236086">
        <w:tc>
          <w:tcPr>
            <w:tcW w:w="1366" w:type="dxa"/>
          </w:tcPr>
          <w:p w14:paraId="4750B372" w14:textId="77777777" w:rsidR="005F45E6" w:rsidRDefault="005F45E6" w:rsidP="005F45E6">
            <w:pPr>
              <w:jc w:val="both"/>
            </w:pPr>
          </w:p>
        </w:tc>
        <w:tc>
          <w:tcPr>
            <w:tcW w:w="1464" w:type="dxa"/>
          </w:tcPr>
          <w:p w14:paraId="7E00F4AD" w14:textId="540A1D5F" w:rsidR="005F45E6" w:rsidRPr="00D20B82" w:rsidRDefault="005F45E6" w:rsidP="005F45E6">
            <w:pPr>
              <w:jc w:val="both"/>
            </w:pPr>
            <w:r w:rsidRPr="005F45E6">
              <w:t>Data engineering</w:t>
            </w:r>
            <w:r>
              <w:rPr>
                <w:rStyle w:val="eop"/>
                <w:rFonts w:ascii="Calibri" w:hAnsi="Calibri" w:cs="Calibri"/>
              </w:rPr>
              <w:t> </w:t>
            </w:r>
          </w:p>
        </w:tc>
        <w:tc>
          <w:tcPr>
            <w:tcW w:w="2127" w:type="dxa"/>
          </w:tcPr>
          <w:p w14:paraId="6E1C3347" w14:textId="77777777" w:rsidR="005F45E6" w:rsidRDefault="005F45E6" w:rsidP="005F45E6">
            <w:pPr>
              <w:jc w:val="both"/>
            </w:pPr>
          </w:p>
        </w:tc>
        <w:tc>
          <w:tcPr>
            <w:tcW w:w="2409" w:type="dxa"/>
          </w:tcPr>
          <w:p w14:paraId="5C2916BA" w14:textId="77777777" w:rsidR="005F45E6" w:rsidRDefault="005F45E6" w:rsidP="005F45E6">
            <w:pPr>
              <w:jc w:val="both"/>
            </w:pPr>
            <w:r>
              <w:t>Customer Hub</w:t>
            </w:r>
          </w:p>
          <w:p w14:paraId="29A4C65B" w14:textId="77777777" w:rsidR="005F45E6" w:rsidRDefault="005F45E6" w:rsidP="005F45E6">
            <w:pPr>
              <w:jc w:val="both"/>
            </w:pPr>
            <w:r>
              <w:t>-Success Stories/Case Studies</w:t>
            </w:r>
          </w:p>
          <w:p w14:paraId="4AE81E7B" w14:textId="2941D662" w:rsidR="005F45E6" w:rsidRDefault="005F45E6" w:rsidP="005F45E6">
            <w:pPr>
              <w:jc w:val="both"/>
            </w:pPr>
            <w:r>
              <w:t>-Testimonials</w:t>
            </w:r>
          </w:p>
        </w:tc>
        <w:tc>
          <w:tcPr>
            <w:tcW w:w="1701" w:type="dxa"/>
          </w:tcPr>
          <w:p w14:paraId="45E63FE8" w14:textId="3BC56545" w:rsidR="005F45E6" w:rsidRDefault="005F45E6" w:rsidP="005F45E6">
            <w:pPr>
              <w:jc w:val="both"/>
            </w:pPr>
            <w:r>
              <w:t>Work @i2e</w:t>
            </w:r>
          </w:p>
        </w:tc>
      </w:tr>
      <w:tr w:rsidR="004753F2" w:rsidRPr="00D20B82" w14:paraId="29B21BD4" w14:textId="77777777" w:rsidTr="00236086">
        <w:tc>
          <w:tcPr>
            <w:tcW w:w="1366" w:type="dxa"/>
          </w:tcPr>
          <w:p w14:paraId="4621B06B" w14:textId="77777777" w:rsidR="004753F2" w:rsidRDefault="004753F2" w:rsidP="004753F2">
            <w:pPr>
              <w:jc w:val="both"/>
            </w:pPr>
          </w:p>
        </w:tc>
        <w:tc>
          <w:tcPr>
            <w:tcW w:w="1464" w:type="dxa"/>
          </w:tcPr>
          <w:p w14:paraId="1579C35A" w14:textId="77777777" w:rsidR="004753F2" w:rsidRDefault="004753F2" w:rsidP="004753F2">
            <w:pPr>
              <w:jc w:val="both"/>
            </w:pPr>
          </w:p>
        </w:tc>
        <w:tc>
          <w:tcPr>
            <w:tcW w:w="2127" w:type="dxa"/>
          </w:tcPr>
          <w:p w14:paraId="18729030" w14:textId="77777777" w:rsidR="004753F2" w:rsidRDefault="004753F2" w:rsidP="004753F2">
            <w:pPr>
              <w:jc w:val="both"/>
            </w:pPr>
          </w:p>
        </w:tc>
        <w:tc>
          <w:tcPr>
            <w:tcW w:w="2409" w:type="dxa"/>
          </w:tcPr>
          <w:p w14:paraId="7E124F96" w14:textId="685F6973" w:rsidR="004753F2" w:rsidRDefault="004753F2" w:rsidP="004753F2">
            <w:pPr>
              <w:jc w:val="both"/>
            </w:pPr>
            <w:r>
              <w:t>Podcasts, webinars and videos</w:t>
            </w:r>
          </w:p>
        </w:tc>
        <w:tc>
          <w:tcPr>
            <w:tcW w:w="1701" w:type="dxa"/>
          </w:tcPr>
          <w:p w14:paraId="1F8418A4" w14:textId="1798D938" w:rsidR="004753F2" w:rsidRDefault="00E908F2" w:rsidP="004753F2">
            <w:pPr>
              <w:jc w:val="both"/>
            </w:pPr>
            <w:r>
              <w:t>Contact us</w:t>
            </w:r>
          </w:p>
        </w:tc>
      </w:tr>
      <w:tr w:rsidR="004753F2" w:rsidRPr="00D20B82" w14:paraId="7B0B96CA" w14:textId="77777777" w:rsidTr="00236086">
        <w:tc>
          <w:tcPr>
            <w:tcW w:w="1366" w:type="dxa"/>
          </w:tcPr>
          <w:p w14:paraId="0FC88DC5" w14:textId="77777777" w:rsidR="004753F2" w:rsidRDefault="004753F2" w:rsidP="004753F2">
            <w:pPr>
              <w:jc w:val="both"/>
            </w:pPr>
          </w:p>
        </w:tc>
        <w:tc>
          <w:tcPr>
            <w:tcW w:w="1464" w:type="dxa"/>
          </w:tcPr>
          <w:p w14:paraId="1BF38261" w14:textId="77777777" w:rsidR="004753F2" w:rsidRDefault="004753F2" w:rsidP="004753F2">
            <w:pPr>
              <w:jc w:val="both"/>
            </w:pPr>
          </w:p>
        </w:tc>
        <w:tc>
          <w:tcPr>
            <w:tcW w:w="2127" w:type="dxa"/>
          </w:tcPr>
          <w:p w14:paraId="385662AD" w14:textId="77777777" w:rsidR="004753F2" w:rsidRDefault="004753F2" w:rsidP="004753F2">
            <w:pPr>
              <w:jc w:val="both"/>
            </w:pPr>
          </w:p>
        </w:tc>
        <w:tc>
          <w:tcPr>
            <w:tcW w:w="2409" w:type="dxa"/>
          </w:tcPr>
          <w:p w14:paraId="65145A04" w14:textId="2F5D5EBC" w:rsidR="004753F2" w:rsidRDefault="004753F2" w:rsidP="004753F2">
            <w:pPr>
              <w:jc w:val="both"/>
            </w:pPr>
            <w:r>
              <w:t>Events &amp; news</w:t>
            </w:r>
          </w:p>
        </w:tc>
        <w:tc>
          <w:tcPr>
            <w:tcW w:w="1701" w:type="dxa"/>
          </w:tcPr>
          <w:p w14:paraId="58CE3D1E" w14:textId="77777777" w:rsidR="004753F2" w:rsidRDefault="004753F2" w:rsidP="004753F2">
            <w:pPr>
              <w:jc w:val="both"/>
            </w:pPr>
          </w:p>
        </w:tc>
      </w:tr>
    </w:tbl>
    <w:p w14:paraId="3D2B7096" w14:textId="051882C6" w:rsidR="002E5E53" w:rsidRDefault="002E5E53" w:rsidP="00F35074">
      <w:pPr>
        <w:jc w:val="both"/>
      </w:pPr>
    </w:p>
    <w:p w14:paraId="3CB9B747" w14:textId="01B9BE57" w:rsidR="0026714F" w:rsidRDefault="0026714F" w:rsidP="00F35074">
      <w:pPr>
        <w:jc w:val="both"/>
      </w:pPr>
      <w:r>
        <w:t>Footer</w:t>
      </w:r>
    </w:p>
    <w:tbl>
      <w:tblPr>
        <w:tblStyle w:val="TableGrid"/>
        <w:tblW w:w="9067" w:type="dxa"/>
        <w:tblLayout w:type="fixed"/>
        <w:tblLook w:val="04A0" w:firstRow="1" w:lastRow="0" w:firstColumn="1" w:lastColumn="0" w:noHBand="0" w:noVBand="1"/>
      </w:tblPr>
      <w:tblGrid>
        <w:gridCol w:w="1366"/>
        <w:gridCol w:w="1464"/>
        <w:gridCol w:w="2127"/>
        <w:gridCol w:w="2409"/>
        <w:gridCol w:w="1701"/>
      </w:tblGrid>
      <w:tr w:rsidR="0026714F" w:rsidRPr="002E5E53" w14:paraId="72E52004" w14:textId="77777777" w:rsidTr="009306A9">
        <w:tc>
          <w:tcPr>
            <w:tcW w:w="1366" w:type="dxa"/>
            <w:shd w:val="clear" w:color="auto" w:fill="auto"/>
          </w:tcPr>
          <w:p w14:paraId="2CC0C9B1" w14:textId="382C6C83" w:rsidR="0026714F" w:rsidRPr="0026714F" w:rsidRDefault="0026714F" w:rsidP="0026714F">
            <w:pPr>
              <w:jc w:val="center"/>
            </w:pPr>
            <w:r>
              <w:t>Cookie policy</w:t>
            </w:r>
          </w:p>
        </w:tc>
        <w:tc>
          <w:tcPr>
            <w:tcW w:w="1464" w:type="dxa"/>
            <w:shd w:val="clear" w:color="auto" w:fill="auto"/>
          </w:tcPr>
          <w:p w14:paraId="7B0662E4" w14:textId="67859E86" w:rsidR="0026714F" w:rsidRPr="0026714F" w:rsidRDefault="0026714F" w:rsidP="0026714F">
            <w:pPr>
              <w:jc w:val="center"/>
            </w:pPr>
            <w:r>
              <w:t>Terms of use</w:t>
            </w:r>
          </w:p>
        </w:tc>
        <w:tc>
          <w:tcPr>
            <w:tcW w:w="2127" w:type="dxa"/>
            <w:shd w:val="clear" w:color="auto" w:fill="auto"/>
          </w:tcPr>
          <w:p w14:paraId="3F0CABA1" w14:textId="554AB93C" w:rsidR="0026714F" w:rsidRPr="0026714F" w:rsidRDefault="0026714F" w:rsidP="0026714F">
            <w:pPr>
              <w:jc w:val="center"/>
            </w:pPr>
            <w:r>
              <w:t>Social handles</w:t>
            </w:r>
          </w:p>
        </w:tc>
        <w:tc>
          <w:tcPr>
            <w:tcW w:w="2409" w:type="dxa"/>
            <w:shd w:val="clear" w:color="auto" w:fill="auto"/>
          </w:tcPr>
          <w:p w14:paraId="6421216B" w14:textId="7EFAA094" w:rsidR="0026714F" w:rsidRPr="0026714F" w:rsidRDefault="0026714F" w:rsidP="0026714F">
            <w:pPr>
              <w:jc w:val="center"/>
            </w:pPr>
            <w:r>
              <w:t>Location</w:t>
            </w:r>
          </w:p>
        </w:tc>
        <w:tc>
          <w:tcPr>
            <w:tcW w:w="1701" w:type="dxa"/>
            <w:shd w:val="clear" w:color="auto" w:fill="auto"/>
          </w:tcPr>
          <w:p w14:paraId="660BEF38" w14:textId="494183D8" w:rsidR="0026714F" w:rsidRPr="0026714F" w:rsidRDefault="0026714F" w:rsidP="0026714F">
            <w:pPr>
              <w:jc w:val="center"/>
            </w:pPr>
            <w:r>
              <w:t>Net zero commitment</w:t>
            </w:r>
          </w:p>
        </w:tc>
      </w:tr>
      <w:tr w:rsidR="0026714F" w14:paraId="15A2644B" w14:textId="77777777" w:rsidTr="009306A9">
        <w:tc>
          <w:tcPr>
            <w:tcW w:w="1366" w:type="dxa"/>
          </w:tcPr>
          <w:p w14:paraId="5B0A3023" w14:textId="07B813D7" w:rsidR="0026714F" w:rsidRPr="0026714F" w:rsidRDefault="0026714F" w:rsidP="0026714F">
            <w:pPr>
              <w:jc w:val="center"/>
            </w:pPr>
            <w:r>
              <w:t>Privacy policy</w:t>
            </w:r>
          </w:p>
        </w:tc>
        <w:tc>
          <w:tcPr>
            <w:tcW w:w="1464" w:type="dxa"/>
          </w:tcPr>
          <w:p w14:paraId="30E5A421" w14:textId="51924414" w:rsidR="0026714F" w:rsidRPr="0026714F" w:rsidRDefault="0026714F" w:rsidP="0026714F">
            <w:pPr>
              <w:jc w:val="center"/>
            </w:pPr>
            <w:r>
              <w:t>Accessibility Statement</w:t>
            </w:r>
          </w:p>
        </w:tc>
        <w:tc>
          <w:tcPr>
            <w:tcW w:w="2127" w:type="dxa"/>
          </w:tcPr>
          <w:p w14:paraId="74D651AA" w14:textId="7178A4DA" w:rsidR="0026714F" w:rsidRPr="0026714F" w:rsidRDefault="0026714F" w:rsidP="0026714F">
            <w:pPr>
              <w:jc w:val="center"/>
            </w:pPr>
            <w:r>
              <w:t>LinkedIn / Facebook / Instagram</w:t>
            </w:r>
          </w:p>
        </w:tc>
        <w:tc>
          <w:tcPr>
            <w:tcW w:w="2409" w:type="dxa"/>
          </w:tcPr>
          <w:p w14:paraId="5D07D221" w14:textId="46929390" w:rsidR="0026714F" w:rsidRPr="0026714F" w:rsidRDefault="0026714F" w:rsidP="0026714F">
            <w:pPr>
              <w:jc w:val="center"/>
            </w:pPr>
            <w:r>
              <w:t>Sitemap</w:t>
            </w:r>
          </w:p>
        </w:tc>
        <w:tc>
          <w:tcPr>
            <w:tcW w:w="1701" w:type="dxa"/>
          </w:tcPr>
          <w:p w14:paraId="10152112" w14:textId="74DD2026" w:rsidR="0026714F" w:rsidRPr="0026714F" w:rsidRDefault="0026714F" w:rsidP="0026714F">
            <w:pPr>
              <w:jc w:val="center"/>
            </w:pPr>
          </w:p>
        </w:tc>
      </w:tr>
    </w:tbl>
    <w:p w14:paraId="7AA52671" w14:textId="77777777" w:rsidR="0026714F" w:rsidRDefault="0026714F" w:rsidP="00F35074">
      <w:pPr>
        <w:jc w:val="both"/>
      </w:pPr>
    </w:p>
    <w:p w14:paraId="591F5489" w14:textId="3249414C" w:rsidR="00231825" w:rsidRDefault="00231825" w:rsidP="00F35074">
      <w:pPr>
        <w:jc w:val="both"/>
      </w:pPr>
      <w:r>
        <w:t>4 image slider</w:t>
      </w:r>
      <w:r w:rsidR="00BD5C08">
        <w:t xml:space="preserve">s </w:t>
      </w:r>
      <w:r>
        <w:t>for the homepage</w:t>
      </w:r>
    </w:p>
    <w:p w14:paraId="7A517945" w14:textId="0E36A8BC" w:rsidR="000A04B3" w:rsidRDefault="000A04B3" w:rsidP="00F35074">
      <w:pPr>
        <w:jc w:val="both"/>
      </w:pPr>
      <w:r>
        <w:t xml:space="preserve">Slider #1: </w:t>
      </w:r>
      <w:r w:rsidR="00BD6C2D">
        <w:t>Align R&amp;D portfolio investments with commercial outcomes.</w:t>
      </w:r>
    </w:p>
    <w:p w14:paraId="40C65FAA" w14:textId="4DB28134" w:rsidR="00FA04A1" w:rsidRDefault="00FA04A1" w:rsidP="00F35074">
      <w:pPr>
        <w:jc w:val="both"/>
      </w:pPr>
      <w:r>
        <w:t xml:space="preserve">Slider #2: </w:t>
      </w:r>
      <w:r w:rsidR="00993036">
        <w:rPr>
          <w:rStyle w:val="ui-provider"/>
        </w:rPr>
        <w:t>Go from risk-averse to risk-aware by leveraging Early Warning Systems</w:t>
      </w:r>
      <w:r w:rsidR="00E57794">
        <w:rPr>
          <w:rStyle w:val="ui-provider"/>
        </w:rPr>
        <w:t>.</w:t>
      </w:r>
    </w:p>
    <w:p w14:paraId="56107137" w14:textId="54137E22" w:rsidR="00FA04A1" w:rsidRDefault="00FA04A1" w:rsidP="00F35074">
      <w:pPr>
        <w:jc w:val="both"/>
      </w:pPr>
      <w:r>
        <w:t>Slider #3:</w:t>
      </w:r>
      <w:r w:rsidR="003D0B37">
        <w:t xml:space="preserve"> </w:t>
      </w:r>
      <w:r w:rsidR="00993036" w:rsidRPr="61665E09">
        <w:rPr>
          <w:rStyle w:val="ui-provider"/>
        </w:rPr>
        <w:t xml:space="preserve">Turn every risk into an opportunity </w:t>
      </w:r>
      <w:r w:rsidR="00993036" w:rsidRPr="61665E09">
        <w:rPr>
          <w:rStyle w:val="ui-provider"/>
          <w:strike/>
        </w:rPr>
        <w:t>with Clairvoyance</w:t>
      </w:r>
      <w:r w:rsidR="00E57794" w:rsidRPr="61665E09">
        <w:rPr>
          <w:rStyle w:val="ui-provider"/>
          <w:strike/>
        </w:rPr>
        <w:t>.</w:t>
      </w:r>
    </w:p>
    <w:p w14:paraId="06BB2827" w14:textId="2E81A497" w:rsidR="00FA04A1" w:rsidRDefault="00FA04A1" w:rsidP="00F35074">
      <w:pPr>
        <w:jc w:val="both"/>
      </w:pPr>
      <w:r>
        <w:t>Slider #4:</w:t>
      </w:r>
      <w:r w:rsidR="003D0B37">
        <w:t xml:space="preserve"> </w:t>
      </w:r>
      <w:r w:rsidR="00634CCB">
        <w:t>AI</w:t>
      </w:r>
      <w:r w:rsidR="00637FD0">
        <w:t xml:space="preserve"> [to be drafted]</w:t>
      </w:r>
    </w:p>
    <w:p w14:paraId="1FD9E765" w14:textId="78AB2E45" w:rsidR="002E5E53" w:rsidRPr="00D20B82" w:rsidRDefault="60DA0AB3" w:rsidP="00F35074">
      <w:pPr>
        <w:jc w:val="both"/>
      </w:pPr>
      <w:r>
        <w:t>Product sliders</w:t>
      </w:r>
    </w:p>
    <w:p w14:paraId="114F884C" w14:textId="26272971" w:rsidR="750168C9" w:rsidRDefault="750168C9" w:rsidP="77636178">
      <w:pPr>
        <w:jc w:val="both"/>
        <w:rPr>
          <w:rStyle w:val="ui-provider"/>
        </w:rPr>
      </w:pPr>
      <w:r w:rsidRPr="77636178">
        <w:rPr>
          <w:b/>
          <w:bCs/>
        </w:rPr>
        <w:t>Portfolio decision support</w:t>
      </w:r>
      <w:r>
        <w:t xml:space="preserve">: We help R&amp;D decision makers improve portfolio performance, </w:t>
      </w:r>
      <w:r w:rsidR="5809A3C4">
        <w:t xml:space="preserve">by aligning </w:t>
      </w:r>
      <w:r w:rsidR="2C3E2D9A">
        <w:t xml:space="preserve">R&amp;D efforts with </w:t>
      </w:r>
      <w:r w:rsidR="5809A3C4">
        <w:t>organizational strategy</w:t>
      </w:r>
      <w:r>
        <w:t xml:space="preserve">. </w:t>
      </w:r>
      <w:r w:rsidR="304D90CB">
        <w:t xml:space="preserve">Our decision support offerings </w:t>
      </w:r>
      <w:r w:rsidR="6B8D20D3">
        <w:t xml:space="preserve">help align investments to the right </w:t>
      </w:r>
      <w:r w:rsidR="4BD01947">
        <w:t xml:space="preserve">clinical </w:t>
      </w:r>
      <w:r w:rsidR="6B8D20D3">
        <w:t xml:space="preserve">assets, improve pipeline visibility and identify and manage </w:t>
      </w:r>
      <w:r w:rsidR="6DEACB0E">
        <w:t>uncertainties</w:t>
      </w:r>
      <w:r w:rsidR="6B8D20D3">
        <w:t>. We are one o</w:t>
      </w:r>
      <w:r w:rsidR="7C6791F2">
        <w:t xml:space="preserve">f the few </w:t>
      </w:r>
      <w:r>
        <w:t xml:space="preserve">companies </w:t>
      </w:r>
      <w:r w:rsidR="77945F13">
        <w:t xml:space="preserve">globally </w:t>
      </w:r>
      <w:r>
        <w:t>that provide certified Planisware® solutions, maintenance and support services.</w:t>
      </w:r>
    </w:p>
    <w:p w14:paraId="36F535E8" w14:textId="3C925FFE" w:rsidR="77636178" w:rsidRDefault="77636178" w:rsidP="77636178">
      <w:pPr>
        <w:jc w:val="both"/>
      </w:pPr>
    </w:p>
    <w:p w14:paraId="3651ED65" w14:textId="2D29D50D" w:rsidR="77636178" w:rsidRDefault="77636178" w:rsidP="77636178">
      <w:pPr>
        <w:jc w:val="both"/>
      </w:pPr>
    </w:p>
    <w:p w14:paraId="12688850" w14:textId="4B9273AA" w:rsidR="316C3257" w:rsidRDefault="316C3257" w:rsidP="77636178">
      <w:pPr>
        <w:jc w:val="both"/>
        <w:rPr>
          <w:rStyle w:val="ui-provider"/>
        </w:rPr>
      </w:pPr>
      <w:r w:rsidRPr="77636178">
        <w:rPr>
          <w:rStyle w:val="ui-provider"/>
          <w:b/>
          <w:bCs/>
        </w:rPr>
        <w:t>Dat</w:t>
      </w:r>
      <w:r w:rsidR="750168C9" w:rsidRPr="77636178">
        <w:rPr>
          <w:rStyle w:val="ui-provider"/>
          <w:b/>
          <w:bCs/>
        </w:rPr>
        <w:t>a analytics</w:t>
      </w:r>
    </w:p>
    <w:p w14:paraId="5530CD4E" w14:textId="4B43DFE9" w:rsidR="1E03DC72" w:rsidRDefault="1E03DC72" w:rsidP="77636178">
      <w:pPr>
        <w:jc w:val="both"/>
        <w:rPr>
          <w:rStyle w:val="ui-provider"/>
        </w:rPr>
      </w:pPr>
      <w:r w:rsidRPr="77636178">
        <w:rPr>
          <w:rStyle w:val="ui-provider"/>
        </w:rPr>
        <w:t xml:space="preserve">Be guided with insights that help you take better decisions through our offerings in data and analytics, be it </w:t>
      </w:r>
      <w:r w:rsidR="223AE44C" w:rsidRPr="77636178">
        <w:rPr>
          <w:rStyle w:val="ui-provider"/>
        </w:rPr>
        <w:t>Advanced Analytics and Modelling Services, Machine Learning and AI-Powered Solutions, Data Visualization and Reporting Services or Analytics-as-a-Service</w:t>
      </w:r>
    </w:p>
    <w:p w14:paraId="41DEFEAD" w14:textId="4891C33C" w:rsidR="750168C9" w:rsidRDefault="750168C9" w:rsidP="77636178">
      <w:pPr>
        <w:jc w:val="both"/>
        <w:rPr>
          <w:rStyle w:val="ui-provider"/>
          <w:b/>
          <w:bCs/>
        </w:rPr>
      </w:pPr>
      <w:r w:rsidRPr="77636178">
        <w:rPr>
          <w:rStyle w:val="ui-provider"/>
          <w:b/>
          <w:bCs/>
        </w:rPr>
        <w:t>Cloud</w:t>
      </w:r>
      <w:r w:rsidR="7CBE261C" w:rsidRPr="77636178">
        <w:rPr>
          <w:rStyle w:val="ui-provider"/>
          <w:b/>
          <w:bCs/>
        </w:rPr>
        <w:t xml:space="preserve"> and Data Engineering</w:t>
      </w:r>
    </w:p>
    <w:p w14:paraId="0A55CAA6" w14:textId="7D3A7995" w:rsidR="163021AE" w:rsidRDefault="4F9AD4A0" w:rsidP="77636178">
      <w:pPr>
        <w:jc w:val="both"/>
        <w:rPr>
          <w:rStyle w:val="ui-provider"/>
        </w:rPr>
      </w:pPr>
      <w:r w:rsidRPr="176298B8">
        <w:rPr>
          <w:rFonts w:ascii="Calibri" w:eastAsia="Calibri" w:hAnsi="Calibri" w:cs="Calibri"/>
        </w:rPr>
        <w:t xml:space="preserve">Shorten your innovation cycles by demonstrating clinical and business value by leveraging modern cloud technology. We have designed cloud and data engineering interventions </w:t>
      </w:r>
      <w:r w:rsidR="4A92DE17" w:rsidRPr="176298B8">
        <w:rPr>
          <w:rFonts w:ascii="Calibri" w:eastAsia="Calibri" w:hAnsi="Calibri" w:cs="Calibri"/>
        </w:rPr>
        <w:t>that have accelerated time-to-value for life sciences organizati</w:t>
      </w:r>
      <w:r w:rsidR="79BF10D4" w:rsidRPr="176298B8">
        <w:rPr>
          <w:rFonts w:ascii="Calibri" w:eastAsia="Calibri" w:hAnsi="Calibri" w:cs="Calibri"/>
        </w:rPr>
        <w:t xml:space="preserve">ons such as an </w:t>
      </w:r>
      <w:r w:rsidR="163021AE" w:rsidRPr="176298B8">
        <w:rPr>
          <w:rStyle w:val="ui-provider"/>
        </w:rPr>
        <w:t xml:space="preserve">AI-based </w:t>
      </w:r>
      <w:r w:rsidR="47FBF5B0" w:rsidRPr="176298B8">
        <w:rPr>
          <w:rStyle w:val="ui-provider"/>
        </w:rPr>
        <w:t>a</w:t>
      </w:r>
      <w:r w:rsidR="163021AE" w:rsidRPr="176298B8">
        <w:rPr>
          <w:rStyle w:val="ui-provider"/>
        </w:rPr>
        <w:t xml:space="preserve">utomated </w:t>
      </w:r>
      <w:r w:rsidR="434D7EAA" w:rsidRPr="176298B8">
        <w:rPr>
          <w:rStyle w:val="ui-provider"/>
        </w:rPr>
        <w:t>c</w:t>
      </w:r>
      <w:r w:rsidR="163021AE" w:rsidRPr="176298B8">
        <w:rPr>
          <w:rStyle w:val="ui-provider"/>
        </w:rPr>
        <w:t xml:space="preserve">linical </w:t>
      </w:r>
      <w:r w:rsidR="063D51CB" w:rsidRPr="176298B8">
        <w:rPr>
          <w:rStyle w:val="ui-provider"/>
        </w:rPr>
        <w:t>s</w:t>
      </w:r>
      <w:r w:rsidR="163021AE" w:rsidRPr="176298B8">
        <w:rPr>
          <w:rStyle w:val="ui-provider"/>
        </w:rPr>
        <w:t xml:space="preserve">upply </w:t>
      </w:r>
      <w:r w:rsidR="643EA950" w:rsidRPr="176298B8">
        <w:rPr>
          <w:rStyle w:val="ui-provider"/>
        </w:rPr>
        <w:t>r</w:t>
      </w:r>
      <w:r w:rsidR="163021AE" w:rsidRPr="176298B8">
        <w:rPr>
          <w:rStyle w:val="ui-provider"/>
        </w:rPr>
        <w:t xml:space="preserve">isk </w:t>
      </w:r>
      <w:r w:rsidR="23FB93C8" w:rsidRPr="176298B8">
        <w:rPr>
          <w:rStyle w:val="ui-provider"/>
        </w:rPr>
        <w:t>t</w:t>
      </w:r>
      <w:r w:rsidR="163021AE" w:rsidRPr="176298B8">
        <w:rPr>
          <w:rStyle w:val="ui-provider"/>
        </w:rPr>
        <w:t>riage system</w:t>
      </w:r>
      <w:r w:rsidR="23A050E7" w:rsidRPr="176298B8">
        <w:rPr>
          <w:rStyle w:val="ui-provider"/>
        </w:rPr>
        <w:t xml:space="preserve"> to monitoring adverse events for clinical trials using machine learning.</w:t>
      </w:r>
    </w:p>
    <w:p w14:paraId="5F0A3ADC" w14:textId="7101670E" w:rsidR="77636178" w:rsidRDefault="1D883ED6" w:rsidP="2CAA7452">
      <w:pPr>
        <w:jc w:val="both"/>
        <w:rPr>
          <w:rStyle w:val="ui-provider"/>
          <w:b/>
          <w:bCs/>
        </w:rPr>
      </w:pPr>
      <w:r w:rsidRPr="3275385A">
        <w:rPr>
          <w:rStyle w:val="ui-provider"/>
          <w:b/>
          <w:bCs/>
        </w:rPr>
        <w:t xml:space="preserve">Slider #1: </w:t>
      </w:r>
      <w:r w:rsidR="68E9AF7D" w:rsidRPr="3275385A">
        <w:rPr>
          <w:rStyle w:val="ui-provider"/>
          <w:b/>
          <w:bCs/>
        </w:rPr>
        <w:t>Clairvoyance</w:t>
      </w:r>
    </w:p>
    <w:p w14:paraId="026BCA8A" w14:textId="7E5B6C68" w:rsidR="68E9AF7D" w:rsidRDefault="68E9AF7D" w:rsidP="52D0E10F">
      <w:pPr>
        <w:spacing w:line="257" w:lineRule="auto"/>
        <w:ind w:left="-20" w:right="-20"/>
        <w:jc w:val="both"/>
      </w:pPr>
      <w:r w:rsidRPr="52D0E10F">
        <w:rPr>
          <w:rFonts w:ascii="Calibri" w:eastAsia="Calibri" w:hAnsi="Calibri" w:cs="Calibri"/>
        </w:rPr>
        <w:t>Clairvoyance - Executive Dashboards</w:t>
      </w:r>
    </w:p>
    <w:p w14:paraId="55027816" w14:textId="6E169DCB" w:rsidR="68E9AF7D" w:rsidRDefault="68E9AF7D" w:rsidP="52D0E10F">
      <w:pPr>
        <w:spacing w:line="257" w:lineRule="auto"/>
        <w:ind w:left="-20" w:right="-20"/>
        <w:jc w:val="both"/>
      </w:pPr>
      <w:r w:rsidRPr="52D0E10F">
        <w:rPr>
          <w:rFonts w:ascii="Calibri" w:eastAsia="Calibri" w:hAnsi="Calibri" w:cs="Calibri"/>
        </w:rPr>
        <w:t>Clairvoyance helps R&amp;D and commercialization leaders to improve portfolio performance by accurate revenue forecasting resulting in data-driven decisions and maximum RoI, even in uncertain times.</w:t>
      </w:r>
    </w:p>
    <w:p w14:paraId="7C50A5DD" w14:textId="2634A1AA" w:rsidR="52D0E10F" w:rsidRDefault="591099CB" w:rsidP="6107088E">
      <w:pPr>
        <w:jc w:val="both"/>
        <w:rPr>
          <w:rStyle w:val="ui-provider"/>
          <w:b/>
          <w:bCs/>
        </w:rPr>
      </w:pPr>
      <w:r w:rsidRPr="3275385A">
        <w:rPr>
          <w:rStyle w:val="ui-provider"/>
          <w:b/>
          <w:bCs/>
        </w:rPr>
        <w:t xml:space="preserve">Slider #2: </w:t>
      </w:r>
      <w:r w:rsidR="68E9AF7D" w:rsidRPr="3275385A">
        <w:rPr>
          <w:rStyle w:val="ui-provider"/>
          <w:b/>
          <w:bCs/>
        </w:rPr>
        <w:t>Optima</w:t>
      </w:r>
    </w:p>
    <w:p w14:paraId="27CADF8B" w14:textId="5ABB571B" w:rsidR="6409452B" w:rsidRDefault="6409452B" w:rsidP="02957AB7">
      <w:pPr>
        <w:jc w:val="both"/>
        <w:rPr>
          <w:rStyle w:val="ui-provider"/>
          <w:b/>
          <w:bCs/>
        </w:rPr>
      </w:pPr>
      <w:r w:rsidRPr="3275385A">
        <w:rPr>
          <w:rStyle w:val="ui-provider"/>
        </w:rPr>
        <w:t>Drive</w:t>
      </w:r>
      <w:r w:rsidRPr="3275385A">
        <w:rPr>
          <w:rStyle w:val="ui-provider"/>
          <w:b/>
          <w:bCs/>
        </w:rPr>
        <w:t xml:space="preserve"> </w:t>
      </w:r>
      <w:r w:rsidRPr="3275385A">
        <w:rPr>
          <w:rFonts w:ascii="Calibri" w:eastAsia="Calibri" w:hAnsi="Calibri" w:cs="Calibri"/>
        </w:rPr>
        <w:t xml:space="preserve">project governance at a click with Optima. Get access to task-level resource </w:t>
      </w:r>
      <w:hyperlink r:id="rId9">
        <w:r w:rsidRPr="3275385A">
          <w:rPr>
            <w:rStyle w:val="Hyperlink"/>
            <w:rFonts w:ascii="Calibri" w:eastAsia="Calibri" w:hAnsi="Calibri" w:cs="Calibri"/>
          </w:rPr>
          <w:t>tracking</w:t>
        </w:r>
      </w:hyperlink>
      <w:r w:rsidRPr="3275385A">
        <w:rPr>
          <w:rFonts w:ascii="Calibri" w:eastAsia="Calibri" w:hAnsi="Calibri" w:cs="Calibri"/>
        </w:rPr>
        <w:t xml:space="preserve"> , monitor performance with workflow tools, drive compliance and resource optimization for timely delivery of project activities.</w:t>
      </w:r>
    </w:p>
    <w:p w14:paraId="229D7105" w14:textId="02C8C0B4" w:rsidR="68E9AF7D" w:rsidRDefault="67D67E57" w:rsidP="6107088E">
      <w:pPr>
        <w:jc w:val="both"/>
        <w:rPr>
          <w:rStyle w:val="ui-provider"/>
          <w:b/>
          <w:bCs/>
        </w:rPr>
      </w:pPr>
      <w:r w:rsidRPr="3275385A">
        <w:rPr>
          <w:rStyle w:val="ui-provider"/>
          <w:b/>
          <w:bCs/>
        </w:rPr>
        <w:t xml:space="preserve">Slider #3: </w:t>
      </w:r>
      <w:r w:rsidR="68E9AF7D" w:rsidRPr="3275385A">
        <w:rPr>
          <w:rStyle w:val="ui-provider"/>
          <w:b/>
          <w:bCs/>
        </w:rPr>
        <w:t>Pulse</w:t>
      </w:r>
    </w:p>
    <w:p w14:paraId="32DC27F4" w14:textId="2FE21514" w:rsidR="68E9AF7D" w:rsidRDefault="68E9AF7D" w:rsidP="417CF28A">
      <w:pPr>
        <w:spacing w:line="257" w:lineRule="auto"/>
        <w:ind w:left="-20" w:right="-20"/>
        <w:jc w:val="both"/>
        <w:rPr>
          <w:rStyle w:val="ui-provider"/>
          <w:b/>
          <w:bCs/>
        </w:rPr>
      </w:pPr>
      <w:r w:rsidRPr="417CF28A">
        <w:rPr>
          <w:rFonts w:ascii="Calibri" w:eastAsia="Calibri" w:hAnsi="Calibri" w:cs="Calibri"/>
        </w:rPr>
        <w:t xml:space="preserve">Pulse empowers R&amp;D decision makers with real-time insights. A rapid deployment solution to equip you to mine valuable insights from your recommended databases and industry specific public domains, empowering you with the tools to influence </w:t>
      </w:r>
      <w:r w:rsidR="16E644CF" w:rsidRPr="417CF28A">
        <w:rPr>
          <w:rFonts w:ascii="Calibri" w:eastAsia="Calibri" w:hAnsi="Calibri" w:cs="Calibri"/>
        </w:rPr>
        <w:t xml:space="preserve">organizational </w:t>
      </w:r>
      <w:r w:rsidRPr="417CF28A">
        <w:rPr>
          <w:rFonts w:ascii="Calibri" w:eastAsia="Calibri" w:hAnsi="Calibri" w:cs="Calibri"/>
        </w:rPr>
        <w:t>strategy.</w:t>
      </w:r>
    </w:p>
    <w:p w14:paraId="62A1C415" w14:textId="27F02B8C" w:rsidR="6107088E" w:rsidRDefault="6107088E" w:rsidP="6107088E">
      <w:pPr>
        <w:jc w:val="both"/>
        <w:rPr>
          <w:rStyle w:val="ui-provider"/>
        </w:rPr>
      </w:pPr>
    </w:p>
    <w:p w14:paraId="744FE695" w14:textId="1F6320B3" w:rsidR="00A96B12" w:rsidRPr="002E5E53" w:rsidRDefault="00A96B12" w:rsidP="00F35074">
      <w:pPr>
        <w:jc w:val="both"/>
        <w:rPr>
          <w:b/>
          <w:bCs/>
        </w:rPr>
      </w:pPr>
      <w:r w:rsidRPr="002E5E53">
        <w:rPr>
          <w:b/>
          <w:bCs/>
        </w:rPr>
        <w:t>Solutions</w:t>
      </w:r>
    </w:p>
    <w:p w14:paraId="107D7577" w14:textId="75082289" w:rsidR="3DB14F32" w:rsidRDefault="3DB14F32" w:rsidP="00977741">
      <w:pPr>
        <w:pStyle w:val="paragraph"/>
        <w:spacing w:before="0" w:beforeAutospacing="0" w:after="0" w:afterAutospacing="0"/>
        <w:ind w:left="142" w:firstLine="720"/>
        <w:jc w:val="both"/>
        <w:rPr>
          <w:rStyle w:val="eop"/>
          <w:rFonts w:ascii="Calibri" w:hAnsi="Calibri" w:cs="Calibri"/>
          <w:sz w:val="22"/>
          <w:szCs w:val="22"/>
        </w:rPr>
      </w:pPr>
      <w:r w:rsidRPr="48FA6541">
        <w:rPr>
          <w:rStyle w:val="normaltextrun"/>
          <w:rFonts w:ascii="Calibri" w:hAnsi="Calibri" w:cs="Calibri"/>
          <w:b/>
          <w:bCs/>
          <w:sz w:val="22"/>
          <w:szCs w:val="22"/>
        </w:rPr>
        <w:t>Strategy and Consulting</w:t>
      </w:r>
    </w:p>
    <w:p w14:paraId="41AF0530" w14:textId="77777777" w:rsidR="3DB14F32" w:rsidRDefault="3DB14F32" w:rsidP="00977741">
      <w:pPr>
        <w:pStyle w:val="ListParagraph"/>
        <w:numPr>
          <w:ilvl w:val="2"/>
          <w:numId w:val="8"/>
        </w:numPr>
        <w:spacing w:after="0" w:line="240" w:lineRule="auto"/>
        <w:ind w:left="1418"/>
        <w:jc w:val="both"/>
        <w:rPr>
          <w:rFonts w:ascii="Calibri" w:eastAsia="Times New Roman" w:hAnsi="Calibri" w:cs="Calibri"/>
          <w:color w:val="000000" w:themeColor="text1"/>
          <w:lang w:eastAsia="en-IN"/>
        </w:rPr>
      </w:pPr>
      <w:r w:rsidRPr="48FA6541">
        <w:rPr>
          <w:rFonts w:ascii="Calibri" w:eastAsia="Times New Roman" w:hAnsi="Calibri" w:cs="Calibri"/>
          <w:color w:val="000000" w:themeColor="text1"/>
          <w:lang w:eastAsia="en-IN"/>
        </w:rPr>
        <w:t>Strategic Portfolio Management</w:t>
      </w:r>
    </w:p>
    <w:p w14:paraId="5052A145" w14:textId="77777777" w:rsidR="3DB14F32" w:rsidRDefault="3DB14F32" w:rsidP="00977741">
      <w:pPr>
        <w:pStyle w:val="ListParagraph"/>
        <w:numPr>
          <w:ilvl w:val="2"/>
          <w:numId w:val="8"/>
        </w:numPr>
        <w:spacing w:after="0" w:line="240" w:lineRule="auto"/>
        <w:ind w:left="1418"/>
        <w:jc w:val="both"/>
        <w:rPr>
          <w:rFonts w:ascii="Calibri" w:eastAsia="Times New Roman" w:hAnsi="Calibri" w:cs="Calibri"/>
          <w:color w:val="000000" w:themeColor="text1"/>
          <w:lang w:eastAsia="en-IN"/>
        </w:rPr>
      </w:pPr>
      <w:r w:rsidRPr="48FA6541">
        <w:rPr>
          <w:rFonts w:ascii="Calibri" w:hAnsi="Calibri" w:cs="Calibri"/>
        </w:rPr>
        <w:t>R&amp;D Portfolio Management</w:t>
      </w:r>
    </w:p>
    <w:p w14:paraId="32F6F04D" w14:textId="5EAFC700" w:rsidR="48FA6541" w:rsidRPr="009A130F" w:rsidRDefault="3DB14F32" w:rsidP="009A130F">
      <w:pPr>
        <w:pStyle w:val="ListParagraph"/>
        <w:numPr>
          <w:ilvl w:val="2"/>
          <w:numId w:val="8"/>
        </w:numPr>
        <w:spacing w:after="0" w:line="240" w:lineRule="auto"/>
        <w:ind w:left="1418"/>
        <w:jc w:val="both"/>
        <w:rPr>
          <w:rFonts w:ascii="Calibri" w:eastAsia="Times New Roman" w:hAnsi="Calibri" w:cs="Calibri"/>
          <w:color w:val="000000" w:themeColor="text1"/>
          <w:lang w:eastAsia="en-IN"/>
        </w:rPr>
      </w:pPr>
      <w:r w:rsidRPr="48FA6541">
        <w:rPr>
          <w:rFonts w:ascii="Calibri" w:hAnsi="Calibri" w:cs="Calibri"/>
        </w:rPr>
        <w:t>Portfolio Decision Analytics</w:t>
      </w:r>
    </w:p>
    <w:p w14:paraId="603461A5" w14:textId="4FDF1520" w:rsidR="009A130F" w:rsidRPr="009A130F" w:rsidRDefault="009A130F" w:rsidP="009A130F">
      <w:pPr>
        <w:pStyle w:val="ListParagraph"/>
        <w:numPr>
          <w:ilvl w:val="2"/>
          <w:numId w:val="8"/>
        </w:numPr>
        <w:ind w:left="1418"/>
        <w:jc w:val="both"/>
        <w:rPr>
          <w:b/>
          <w:bCs/>
        </w:rPr>
      </w:pPr>
      <w:r>
        <w:t>Medical Affairs</w:t>
      </w:r>
    </w:p>
    <w:p w14:paraId="1F39736A" w14:textId="430AB446" w:rsidR="3DB14F32" w:rsidRPr="00977741" w:rsidRDefault="3DB14F32" w:rsidP="00977741">
      <w:pPr>
        <w:pStyle w:val="paragraph"/>
        <w:spacing w:before="0" w:beforeAutospacing="0" w:after="0" w:afterAutospacing="0"/>
        <w:ind w:left="142" w:firstLine="720"/>
        <w:jc w:val="both"/>
        <w:rPr>
          <w:rStyle w:val="normaltextrun"/>
          <w:rFonts w:ascii="Calibri" w:hAnsi="Calibri" w:cs="Calibri"/>
          <w:b/>
          <w:bCs/>
          <w:sz w:val="22"/>
          <w:szCs w:val="22"/>
        </w:rPr>
      </w:pPr>
      <w:r w:rsidRPr="00977741">
        <w:rPr>
          <w:rStyle w:val="normaltextrun"/>
          <w:rFonts w:ascii="Calibri" w:hAnsi="Calibri" w:cs="Calibri"/>
          <w:b/>
          <w:bCs/>
          <w:sz w:val="22"/>
          <w:szCs w:val="22"/>
        </w:rPr>
        <w:t>Business Research</w:t>
      </w:r>
    </w:p>
    <w:p w14:paraId="154E5712" w14:textId="643297B8" w:rsidR="3DB14F32" w:rsidRDefault="3DB14F32" w:rsidP="00977741">
      <w:pPr>
        <w:pStyle w:val="ListParagraph"/>
        <w:numPr>
          <w:ilvl w:val="2"/>
          <w:numId w:val="8"/>
        </w:numPr>
        <w:ind w:left="1418"/>
        <w:jc w:val="both"/>
      </w:pPr>
      <w:r>
        <w:t>Competitive Intelligence</w:t>
      </w:r>
      <w:r>
        <w:tab/>
      </w:r>
    </w:p>
    <w:p w14:paraId="51465F07" w14:textId="6B294FF3" w:rsidR="3DB14F32" w:rsidRDefault="3DB14F32" w:rsidP="00435A2E">
      <w:pPr>
        <w:pStyle w:val="ListParagraph"/>
        <w:numPr>
          <w:ilvl w:val="2"/>
          <w:numId w:val="8"/>
        </w:numPr>
        <w:ind w:left="1418"/>
        <w:jc w:val="both"/>
      </w:pPr>
      <w:r>
        <w:t>EWS</w:t>
      </w:r>
    </w:p>
    <w:p w14:paraId="5837F1BA" w14:textId="7B3A706F" w:rsidR="3DB14F32" w:rsidRDefault="3DB14F32" w:rsidP="00977741">
      <w:pPr>
        <w:pStyle w:val="ListParagraph"/>
        <w:numPr>
          <w:ilvl w:val="2"/>
          <w:numId w:val="8"/>
        </w:numPr>
        <w:ind w:left="1418"/>
        <w:jc w:val="both"/>
      </w:pPr>
      <w:r>
        <w:t>Market Assessment</w:t>
      </w:r>
    </w:p>
    <w:p w14:paraId="5520D9EF" w14:textId="18FB9A0B" w:rsidR="3DB14F32" w:rsidRDefault="3DB14F32" w:rsidP="00977741">
      <w:pPr>
        <w:pStyle w:val="paragraph"/>
        <w:spacing w:before="0" w:beforeAutospacing="0" w:after="0" w:afterAutospacing="0"/>
        <w:ind w:left="142" w:firstLine="720"/>
        <w:jc w:val="both"/>
        <w:rPr>
          <w:rStyle w:val="normaltextrun"/>
          <w:rFonts w:ascii="Calibri" w:hAnsi="Calibri" w:cs="Calibri"/>
          <w:b/>
          <w:bCs/>
          <w:sz w:val="22"/>
          <w:szCs w:val="22"/>
        </w:rPr>
      </w:pPr>
      <w:r w:rsidRPr="00977741">
        <w:rPr>
          <w:rStyle w:val="normaltextrun"/>
          <w:rFonts w:ascii="Calibri" w:hAnsi="Calibri" w:cs="Calibri"/>
          <w:b/>
          <w:bCs/>
          <w:sz w:val="22"/>
          <w:szCs w:val="22"/>
        </w:rPr>
        <w:t>Business Development and Licensing</w:t>
      </w:r>
    </w:p>
    <w:p w14:paraId="73FB22DD" w14:textId="4F4AA9AA" w:rsidR="00A83D66" w:rsidRPr="00A83D66" w:rsidRDefault="001C3137" w:rsidP="00A83D66">
      <w:pPr>
        <w:pStyle w:val="ListParagraph"/>
        <w:numPr>
          <w:ilvl w:val="2"/>
          <w:numId w:val="8"/>
        </w:numPr>
        <w:ind w:left="1418"/>
        <w:jc w:val="both"/>
      </w:pPr>
      <w:r w:rsidRPr="00A83D66">
        <w:t>Indication</w:t>
      </w:r>
      <w:r w:rsidR="00A83D66" w:rsidRPr="00A83D66">
        <w:t xml:space="preserve"> and Asset Prioritization</w:t>
      </w:r>
    </w:p>
    <w:p w14:paraId="5F194319" w14:textId="55F6B142" w:rsidR="001C3137" w:rsidRPr="005C106D" w:rsidRDefault="001C3137" w:rsidP="00A83D66">
      <w:pPr>
        <w:pStyle w:val="ListParagraph"/>
        <w:numPr>
          <w:ilvl w:val="2"/>
          <w:numId w:val="8"/>
        </w:numPr>
        <w:ind w:left="1418"/>
        <w:jc w:val="both"/>
      </w:pPr>
      <w:r w:rsidRPr="00A83D66">
        <w:t>Forecasting and Valuation</w:t>
      </w:r>
    </w:p>
    <w:p w14:paraId="1C8C453C" w14:textId="77777777" w:rsidR="005C106D" w:rsidRDefault="005C106D" w:rsidP="005C106D">
      <w:pPr>
        <w:pStyle w:val="ListParagraph"/>
        <w:numPr>
          <w:ilvl w:val="2"/>
          <w:numId w:val="8"/>
        </w:numPr>
        <w:ind w:left="1418"/>
        <w:jc w:val="both"/>
      </w:pPr>
      <w:r>
        <w:t>Target Product Profile (TPP) &amp; Partnering Package Preparation</w:t>
      </w:r>
    </w:p>
    <w:p w14:paraId="60DF38B8" w14:textId="24EAFD6C" w:rsidR="009A130F" w:rsidRDefault="005C106D" w:rsidP="005C106D">
      <w:pPr>
        <w:pStyle w:val="ListParagraph"/>
        <w:numPr>
          <w:ilvl w:val="2"/>
          <w:numId w:val="8"/>
        </w:numPr>
        <w:ind w:left="1418"/>
        <w:jc w:val="both"/>
      </w:pPr>
      <w:r>
        <w:t xml:space="preserve">Partner Identification and reach </w:t>
      </w:r>
      <w:r w:rsidR="002B2B46">
        <w:t>out</w:t>
      </w:r>
    </w:p>
    <w:p w14:paraId="5FD20DEB" w14:textId="4AFCF3EF" w:rsidR="3DB14F32" w:rsidRPr="00977741" w:rsidRDefault="3DB14F32" w:rsidP="00977741">
      <w:pPr>
        <w:pStyle w:val="paragraph"/>
        <w:spacing w:before="0" w:beforeAutospacing="0" w:after="0" w:afterAutospacing="0"/>
        <w:ind w:left="142" w:firstLine="720"/>
        <w:jc w:val="both"/>
        <w:rPr>
          <w:rStyle w:val="normaltextrun"/>
          <w:rFonts w:ascii="Calibri" w:hAnsi="Calibri" w:cs="Calibri"/>
          <w:b/>
          <w:bCs/>
          <w:sz w:val="22"/>
          <w:szCs w:val="22"/>
        </w:rPr>
      </w:pPr>
      <w:r w:rsidRPr="00977741">
        <w:rPr>
          <w:rStyle w:val="normaltextrun"/>
          <w:rFonts w:ascii="Calibri" w:hAnsi="Calibri" w:cs="Calibri"/>
          <w:b/>
          <w:bCs/>
          <w:sz w:val="22"/>
          <w:szCs w:val="22"/>
        </w:rPr>
        <w:t>Commercial</w:t>
      </w:r>
    </w:p>
    <w:p w14:paraId="512A3B53" w14:textId="77777777" w:rsidR="3DB14F32" w:rsidRDefault="3DB14F32" w:rsidP="48FA6541">
      <w:pPr>
        <w:pStyle w:val="ListParagraph"/>
        <w:numPr>
          <w:ilvl w:val="1"/>
          <w:numId w:val="29"/>
        </w:numPr>
        <w:jc w:val="both"/>
      </w:pPr>
      <w:r w:rsidRPr="48FA6541">
        <w:rPr>
          <w:rFonts w:ascii="Calibri" w:eastAsia="Times New Roman" w:hAnsi="Calibri" w:cs="Calibri"/>
          <w:color w:val="000000" w:themeColor="text1"/>
          <w:lang w:eastAsia="en-IN"/>
        </w:rPr>
        <w:t>F</w:t>
      </w:r>
      <w:r w:rsidRPr="48FA6541">
        <w:rPr>
          <w:rFonts w:eastAsiaTheme="minorEastAsia"/>
        </w:rPr>
        <w:t>orecasting and Valuation</w:t>
      </w:r>
    </w:p>
    <w:p w14:paraId="1764A595" w14:textId="77777777" w:rsidR="3DB14F32" w:rsidRDefault="3DB14F32" w:rsidP="48FA6541">
      <w:pPr>
        <w:pStyle w:val="ListParagraph"/>
        <w:numPr>
          <w:ilvl w:val="1"/>
          <w:numId w:val="29"/>
        </w:numPr>
        <w:jc w:val="both"/>
      </w:pPr>
      <w:r>
        <w:t>BI Dashboard</w:t>
      </w:r>
    </w:p>
    <w:p w14:paraId="697EE43A" w14:textId="77777777" w:rsidR="3DB14F32" w:rsidRDefault="3DB14F32" w:rsidP="48FA6541">
      <w:pPr>
        <w:pStyle w:val="ListParagraph"/>
        <w:numPr>
          <w:ilvl w:val="1"/>
          <w:numId w:val="29"/>
        </w:numPr>
        <w:jc w:val="both"/>
      </w:pPr>
      <w:r>
        <w:t>Marketing and Digital Services</w:t>
      </w:r>
    </w:p>
    <w:p w14:paraId="597AAB25" w14:textId="77777777" w:rsidR="3DB14F32" w:rsidRDefault="3DB14F32" w:rsidP="48FA6541">
      <w:pPr>
        <w:pStyle w:val="ListParagraph"/>
        <w:numPr>
          <w:ilvl w:val="1"/>
          <w:numId w:val="29"/>
        </w:numPr>
        <w:jc w:val="both"/>
      </w:pPr>
      <w:r>
        <w:t>Sales Analytics</w:t>
      </w:r>
    </w:p>
    <w:p w14:paraId="6ECC964A" w14:textId="09090F53" w:rsidR="009A130F" w:rsidRDefault="009A130F" w:rsidP="009A130F">
      <w:pPr>
        <w:pStyle w:val="ListParagraph"/>
        <w:numPr>
          <w:ilvl w:val="1"/>
          <w:numId w:val="29"/>
        </w:numPr>
        <w:jc w:val="both"/>
      </w:pPr>
      <w:r>
        <w:t>Market Access</w:t>
      </w:r>
    </w:p>
    <w:p w14:paraId="2720120A" w14:textId="7B6C09EF" w:rsidR="48FA6541" w:rsidRDefault="48FA6541" w:rsidP="48FA6541">
      <w:pPr>
        <w:jc w:val="both"/>
        <w:rPr>
          <w:b/>
          <w:bCs/>
        </w:rPr>
      </w:pPr>
    </w:p>
    <w:p w14:paraId="4454A99E" w14:textId="2C4810B0" w:rsidR="48FA6541" w:rsidRDefault="48FA6541" w:rsidP="48FA6541">
      <w:pPr>
        <w:jc w:val="both"/>
        <w:rPr>
          <w:b/>
          <w:bCs/>
        </w:rPr>
      </w:pPr>
    </w:p>
    <w:p w14:paraId="7DD99175" w14:textId="745CA4C1" w:rsidR="48FA6541" w:rsidRDefault="48FA6541" w:rsidP="48FA6541">
      <w:pPr>
        <w:jc w:val="both"/>
        <w:rPr>
          <w:b/>
          <w:bCs/>
        </w:rPr>
      </w:pPr>
    </w:p>
    <w:p w14:paraId="3811FD63" w14:textId="4516E615" w:rsidR="48FA6541" w:rsidRDefault="48FA6541" w:rsidP="48FA6541">
      <w:pPr>
        <w:jc w:val="both"/>
        <w:rPr>
          <w:b/>
          <w:bCs/>
        </w:rPr>
      </w:pPr>
    </w:p>
    <w:p w14:paraId="6A8735CD" w14:textId="119D2718" w:rsidR="48FA6541" w:rsidRDefault="48FA6541" w:rsidP="48FA6541">
      <w:pPr>
        <w:jc w:val="both"/>
        <w:rPr>
          <w:b/>
          <w:bCs/>
        </w:rPr>
      </w:pPr>
    </w:p>
    <w:p w14:paraId="40AF2595" w14:textId="218CB219" w:rsidR="006E7535" w:rsidRPr="00D20B82" w:rsidRDefault="006E7535" w:rsidP="1C6CDC31">
      <w:pPr>
        <w:jc w:val="both"/>
        <w:rPr>
          <w:b/>
          <w:bCs/>
        </w:rPr>
      </w:pPr>
      <w:r w:rsidRPr="1C6CDC31">
        <w:rPr>
          <w:b/>
          <w:bCs/>
        </w:rPr>
        <w:t>R&amp;D</w:t>
      </w:r>
    </w:p>
    <w:p w14:paraId="044BF7A8" w14:textId="75082289" w:rsidR="005F45E6" w:rsidRDefault="005F45E6" w:rsidP="41885793">
      <w:pPr>
        <w:pStyle w:val="paragraph"/>
        <w:spacing w:before="0" w:beforeAutospacing="0" w:after="0" w:afterAutospacing="0"/>
        <w:ind w:left="720" w:firstLine="720"/>
        <w:jc w:val="both"/>
        <w:textAlignment w:val="baseline"/>
        <w:rPr>
          <w:rStyle w:val="eop"/>
          <w:rFonts w:ascii="Calibri" w:hAnsi="Calibri" w:cs="Calibri"/>
          <w:sz w:val="22"/>
          <w:szCs w:val="22"/>
        </w:rPr>
      </w:pPr>
      <w:r w:rsidRPr="41885793">
        <w:rPr>
          <w:rStyle w:val="normaltextrun"/>
          <w:rFonts w:ascii="Calibri" w:hAnsi="Calibri" w:cs="Calibri"/>
          <w:b/>
          <w:bCs/>
          <w:sz w:val="22"/>
          <w:szCs w:val="22"/>
        </w:rPr>
        <w:t>Strategy and Consulting</w:t>
      </w:r>
    </w:p>
    <w:p w14:paraId="5D2132E5" w14:textId="77777777" w:rsidR="0027108F" w:rsidRDefault="007F07A5" w:rsidP="41885793">
      <w:pPr>
        <w:pStyle w:val="ListParagraph"/>
        <w:numPr>
          <w:ilvl w:val="2"/>
          <w:numId w:val="8"/>
        </w:numPr>
        <w:spacing w:after="0" w:line="240" w:lineRule="auto"/>
        <w:jc w:val="both"/>
        <w:rPr>
          <w:rFonts w:ascii="Calibri" w:eastAsia="Times New Roman" w:hAnsi="Calibri" w:cs="Calibri"/>
          <w:color w:val="000000"/>
          <w:kern w:val="0"/>
          <w:lang w:eastAsia="en-IN"/>
          <w14:ligatures w14:val="none"/>
        </w:rPr>
      </w:pPr>
      <w:r w:rsidRPr="007F07A5">
        <w:rPr>
          <w:rFonts w:ascii="Calibri" w:eastAsia="Times New Roman" w:hAnsi="Calibri" w:cs="Calibri"/>
          <w:color w:val="000000"/>
          <w:kern w:val="0"/>
          <w:lang w:eastAsia="en-IN"/>
          <w14:ligatures w14:val="none"/>
        </w:rPr>
        <w:t>Strategic Portfolio Management</w:t>
      </w:r>
    </w:p>
    <w:p w14:paraId="204BB3C4" w14:textId="77777777" w:rsidR="0027108F" w:rsidRPr="0027108F" w:rsidRDefault="007F07A5" w:rsidP="41885793">
      <w:pPr>
        <w:pStyle w:val="ListParagraph"/>
        <w:numPr>
          <w:ilvl w:val="2"/>
          <w:numId w:val="8"/>
        </w:numPr>
        <w:spacing w:after="0" w:line="240" w:lineRule="auto"/>
        <w:jc w:val="both"/>
        <w:rPr>
          <w:rFonts w:ascii="Calibri" w:eastAsia="Times New Roman" w:hAnsi="Calibri" w:cs="Calibri"/>
          <w:color w:val="000000"/>
          <w:kern w:val="0"/>
          <w:lang w:eastAsia="en-IN"/>
          <w14:ligatures w14:val="none"/>
        </w:rPr>
      </w:pPr>
      <w:r w:rsidRPr="41885793">
        <w:rPr>
          <w:rFonts w:ascii="Calibri" w:hAnsi="Calibri" w:cs="Calibri"/>
        </w:rPr>
        <w:t>R&amp;D Portfolio Management</w:t>
      </w:r>
    </w:p>
    <w:p w14:paraId="1AD51340" w14:textId="536D39B5" w:rsidR="007F07A5" w:rsidRPr="0027108F" w:rsidRDefault="007F07A5" w:rsidP="41885793">
      <w:pPr>
        <w:pStyle w:val="ListParagraph"/>
        <w:numPr>
          <w:ilvl w:val="2"/>
          <w:numId w:val="8"/>
        </w:numPr>
        <w:spacing w:after="0" w:line="240" w:lineRule="auto"/>
        <w:jc w:val="both"/>
        <w:rPr>
          <w:rFonts w:ascii="Calibri" w:eastAsia="Times New Roman" w:hAnsi="Calibri" w:cs="Calibri"/>
          <w:color w:val="000000"/>
          <w:kern w:val="0"/>
          <w:lang w:eastAsia="en-IN"/>
          <w14:ligatures w14:val="none"/>
        </w:rPr>
      </w:pPr>
      <w:r w:rsidRPr="41885793">
        <w:rPr>
          <w:rFonts w:ascii="Calibri" w:hAnsi="Calibri" w:cs="Calibri"/>
        </w:rPr>
        <w:t>Portfolio Decision Analytics</w:t>
      </w:r>
    </w:p>
    <w:p w14:paraId="1764DF25" w14:textId="77777777" w:rsidR="007F07A5" w:rsidRDefault="007F07A5" w:rsidP="007F07A5">
      <w:pPr>
        <w:pStyle w:val="paragraph"/>
        <w:spacing w:before="0" w:beforeAutospacing="0" w:after="0" w:afterAutospacing="0"/>
        <w:ind w:left="1440"/>
        <w:jc w:val="both"/>
        <w:textAlignment w:val="baseline"/>
        <w:rPr>
          <w:rFonts w:ascii="Calibri" w:hAnsi="Calibri" w:cs="Calibri"/>
          <w:sz w:val="22"/>
          <w:szCs w:val="22"/>
        </w:rPr>
      </w:pPr>
    </w:p>
    <w:p w14:paraId="19B70D41" w14:textId="430AB446" w:rsidR="0027108F" w:rsidRDefault="0027108F" w:rsidP="41885793">
      <w:pPr>
        <w:ind w:left="720" w:firstLine="720"/>
        <w:jc w:val="both"/>
      </w:pPr>
      <w:r w:rsidRPr="41885793">
        <w:rPr>
          <w:b/>
          <w:bCs/>
        </w:rPr>
        <w:t>Business Research</w:t>
      </w:r>
    </w:p>
    <w:p w14:paraId="39381F29" w14:textId="643297B8" w:rsidR="0027108F" w:rsidRDefault="0027108F" w:rsidP="41885793">
      <w:pPr>
        <w:pStyle w:val="ListParagraph"/>
        <w:numPr>
          <w:ilvl w:val="2"/>
          <w:numId w:val="8"/>
        </w:numPr>
        <w:jc w:val="both"/>
      </w:pPr>
      <w:r>
        <w:t>Competitive Intelligence</w:t>
      </w:r>
      <w:r>
        <w:tab/>
      </w:r>
    </w:p>
    <w:p w14:paraId="596A1AEA" w14:textId="6B294FF3" w:rsidR="00CA5CB2" w:rsidRDefault="00CA5CB2" w:rsidP="41885793">
      <w:pPr>
        <w:pStyle w:val="ListParagraph"/>
        <w:numPr>
          <w:ilvl w:val="3"/>
          <w:numId w:val="8"/>
        </w:numPr>
        <w:jc w:val="both"/>
      </w:pPr>
      <w:r>
        <w:t>EWS</w:t>
      </w:r>
    </w:p>
    <w:p w14:paraId="59281623" w14:textId="7B3A706F" w:rsidR="0027108F" w:rsidRDefault="0027108F" w:rsidP="41885793">
      <w:pPr>
        <w:pStyle w:val="ListParagraph"/>
        <w:numPr>
          <w:ilvl w:val="2"/>
          <w:numId w:val="8"/>
        </w:numPr>
        <w:jc w:val="both"/>
      </w:pPr>
      <w:r>
        <w:t>Market Assessment</w:t>
      </w:r>
    </w:p>
    <w:p w14:paraId="4EBCAB39" w14:textId="18FB9A0B" w:rsidR="0027108F" w:rsidRDefault="0027108F" w:rsidP="41885793">
      <w:pPr>
        <w:pStyle w:val="ListParagraph"/>
        <w:numPr>
          <w:ilvl w:val="2"/>
          <w:numId w:val="8"/>
        </w:numPr>
        <w:jc w:val="both"/>
      </w:pPr>
      <w:r>
        <w:t>Business Development and Licensing</w:t>
      </w:r>
    </w:p>
    <w:p w14:paraId="5447D873" w14:textId="05BD49A6" w:rsidR="0027108F" w:rsidRDefault="0027108F" w:rsidP="41885793">
      <w:pPr>
        <w:pStyle w:val="ListParagraph"/>
        <w:numPr>
          <w:ilvl w:val="2"/>
          <w:numId w:val="8"/>
        </w:numPr>
        <w:jc w:val="both"/>
      </w:pPr>
      <w:r>
        <w:t>Market Access</w:t>
      </w:r>
    </w:p>
    <w:p w14:paraId="65C86398" w14:textId="453903D4" w:rsidR="006E7535" w:rsidRPr="00D20B82" w:rsidRDefault="0027108F" w:rsidP="41885793">
      <w:pPr>
        <w:pStyle w:val="ListParagraph"/>
        <w:numPr>
          <w:ilvl w:val="2"/>
          <w:numId w:val="8"/>
        </w:numPr>
        <w:jc w:val="both"/>
        <w:rPr>
          <w:b/>
          <w:bCs/>
        </w:rPr>
      </w:pPr>
      <w:r>
        <w:t>Medical Affairs</w:t>
      </w:r>
    </w:p>
    <w:p w14:paraId="65F7CAF9" w14:textId="4AFCF3EF" w:rsidR="006E7535" w:rsidRPr="00D20B82" w:rsidRDefault="006E7535" w:rsidP="3275385A">
      <w:pPr>
        <w:jc w:val="both"/>
        <w:rPr>
          <w:b/>
          <w:bCs/>
        </w:rPr>
      </w:pPr>
      <w:r w:rsidRPr="3275385A">
        <w:rPr>
          <w:b/>
          <w:bCs/>
        </w:rPr>
        <w:t>Commercial</w:t>
      </w:r>
    </w:p>
    <w:p w14:paraId="12782709" w14:textId="77777777" w:rsidR="0027108F" w:rsidRPr="0027108F" w:rsidRDefault="0027108F" w:rsidP="0027108F">
      <w:pPr>
        <w:pStyle w:val="ListParagraph"/>
        <w:numPr>
          <w:ilvl w:val="1"/>
          <w:numId w:val="8"/>
        </w:numPr>
        <w:spacing w:after="0" w:line="240" w:lineRule="auto"/>
        <w:rPr>
          <w:rFonts w:ascii="Calibri" w:eastAsia="Times New Roman" w:hAnsi="Calibri" w:cs="Calibri"/>
          <w:color w:val="000000"/>
          <w:kern w:val="0"/>
          <w:lang w:eastAsia="en-IN"/>
          <w14:ligatures w14:val="none"/>
        </w:rPr>
      </w:pPr>
      <w:r w:rsidRPr="0027108F">
        <w:rPr>
          <w:rFonts w:ascii="Calibri" w:eastAsia="Times New Roman" w:hAnsi="Calibri" w:cs="Calibri"/>
          <w:color w:val="000000"/>
          <w:kern w:val="0"/>
          <w:lang w:eastAsia="en-IN"/>
          <w14:ligatures w14:val="none"/>
        </w:rPr>
        <w:t>Forecasting and Valuation</w:t>
      </w:r>
    </w:p>
    <w:p w14:paraId="267E35E0" w14:textId="77777777" w:rsidR="0027108F" w:rsidRPr="0027108F" w:rsidRDefault="0027108F" w:rsidP="0027108F">
      <w:pPr>
        <w:pStyle w:val="ListParagraph"/>
        <w:numPr>
          <w:ilvl w:val="1"/>
          <w:numId w:val="8"/>
        </w:numPr>
        <w:spacing w:after="0" w:line="240" w:lineRule="auto"/>
        <w:rPr>
          <w:rFonts w:ascii="Calibri" w:eastAsia="Times New Roman" w:hAnsi="Calibri" w:cs="Calibri"/>
          <w:color w:val="000000"/>
          <w:kern w:val="0"/>
          <w:lang w:eastAsia="en-IN"/>
          <w14:ligatures w14:val="none"/>
        </w:rPr>
      </w:pPr>
      <w:r w:rsidRPr="0027108F">
        <w:rPr>
          <w:rFonts w:ascii="Calibri" w:eastAsia="Times New Roman" w:hAnsi="Calibri" w:cs="Calibri"/>
          <w:color w:val="000000"/>
          <w:kern w:val="0"/>
          <w:lang w:eastAsia="en-IN"/>
          <w14:ligatures w14:val="none"/>
        </w:rPr>
        <w:t>BI Dashboard</w:t>
      </w:r>
    </w:p>
    <w:p w14:paraId="52E58F4A" w14:textId="77777777" w:rsidR="0027108F" w:rsidRPr="0027108F" w:rsidRDefault="0027108F" w:rsidP="0027108F">
      <w:pPr>
        <w:pStyle w:val="ListParagraph"/>
        <w:numPr>
          <w:ilvl w:val="1"/>
          <w:numId w:val="8"/>
        </w:numPr>
        <w:spacing w:after="0" w:line="240" w:lineRule="auto"/>
        <w:rPr>
          <w:rFonts w:ascii="Calibri" w:eastAsia="Times New Roman" w:hAnsi="Calibri" w:cs="Calibri"/>
          <w:color w:val="000000"/>
          <w:kern w:val="0"/>
          <w:lang w:eastAsia="en-IN"/>
          <w14:ligatures w14:val="none"/>
        </w:rPr>
      </w:pPr>
      <w:r w:rsidRPr="0027108F">
        <w:rPr>
          <w:rFonts w:ascii="Calibri" w:eastAsia="Times New Roman" w:hAnsi="Calibri" w:cs="Calibri"/>
          <w:color w:val="000000"/>
          <w:kern w:val="0"/>
          <w:lang w:eastAsia="en-IN"/>
          <w14:ligatures w14:val="none"/>
        </w:rPr>
        <w:t>Marketing and Digital Services</w:t>
      </w:r>
    </w:p>
    <w:p w14:paraId="4BB6FD92" w14:textId="77777777" w:rsidR="0027108F" w:rsidRPr="0027108F" w:rsidRDefault="0027108F" w:rsidP="0027108F">
      <w:pPr>
        <w:pStyle w:val="ListParagraph"/>
        <w:numPr>
          <w:ilvl w:val="1"/>
          <w:numId w:val="8"/>
        </w:numPr>
        <w:spacing w:after="0" w:line="240" w:lineRule="auto"/>
        <w:rPr>
          <w:rFonts w:ascii="Calibri" w:eastAsia="Times New Roman" w:hAnsi="Calibri" w:cs="Calibri"/>
          <w:color w:val="000000"/>
          <w:kern w:val="0"/>
          <w:lang w:eastAsia="en-IN"/>
          <w14:ligatures w14:val="none"/>
        </w:rPr>
      </w:pPr>
      <w:r w:rsidRPr="0027108F">
        <w:rPr>
          <w:rFonts w:ascii="Calibri" w:eastAsia="Times New Roman" w:hAnsi="Calibri" w:cs="Calibri"/>
          <w:color w:val="000000"/>
          <w:kern w:val="0"/>
          <w:lang w:eastAsia="en-IN"/>
          <w14:ligatures w14:val="none"/>
        </w:rPr>
        <w:t>Sales Analytics</w:t>
      </w:r>
    </w:p>
    <w:p w14:paraId="043761B0" w14:textId="77777777" w:rsidR="006E7535" w:rsidRPr="00D20B82" w:rsidRDefault="006E7535" w:rsidP="00F35074">
      <w:pPr>
        <w:jc w:val="both"/>
      </w:pPr>
    </w:p>
    <w:p w14:paraId="1A2F78D8" w14:textId="6DD15E74" w:rsidR="00A96B12" w:rsidRPr="002E5E53" w:rsidRDefault="00A96B12" w:rsidP="00F35074">
      <w:pPr>
        <w:jc w:val="both"/>
        <w:rPr>
          <w:b/>
          <w:bCs/>
        </w:rPr>
      </w:pPr>
      <w:r w:rsidRPr="002E5E53">
        <w:rPr>
          <w:b/>
          <w:bCs/>
        </w:rPr>
        <w:t>Technologies</w:t>
      </w:r>
    </w:p>
    <w:p w14:paraId="497BBED9" w14:textId="77777777" w:rsidR="00177DF7" w:rsidRDefault="00177DF7" w:rsidP="00177DF7">
      <w:pPr>
        <w:pStyle w:val="ListParagraph"/>
        <w:numPr>
          <w:ilvl w:val="0"/>
          <w:numId w:val="26"/>
        </w:numPr>
        <w:jc w:val="both"/>
      </w:pPr>
      <w:r w:rsidRPr="00177DF7">
        <w:rPr>
          <w:rStyle w:val="normaltextrun"/>
          <w:rFonts w:ascii="Calibri" w:hAnsi="Calibri" w:cs="Calibri"/>
        </w:rPr>
        <w:t>PPM</w:t>
      </w:r>
      <w:r w:rsidRPr="00177DF7">
        <w:rPr>
          <w:rStyle w:val="eop"/>
          <w:rFonts w:ascii="Calibri" w:hAnsi="Calibri" w:cs="Calibri"/>
        </w:rPr>
        <w:t> </w:t>
      </w:r>
    </w:p>
    <w:p w14:paraId="68DC56E1" w14:textId="77777777" w:rsidR="00177DF7" w:rsidRPr="00D20B82" w:rsidRDefault="00177DF7" w:rsidP="00177DF7">
      <w:pPr>
        <w:pStyle w:val="ListParagraph"/>
        <w:numPr>
          <w:ilvl w:val="0"/>
          <w:numId w:val="26"/>
        </w:numPr>
        <w:jc w:val="both"/>
      </w:pPr>
      <w:r w:rsidRPr="00177DF7">
        <w:rPr>
          <w:rStyle w:val="normaltextrun"/>
          <w:rFonts w:ascii="Calibri" w:hAnsi="Calibri" w:cs="Calibri"/>
        </w:rPr>
        <w:t>AI/ML</w:t>
      </w:r>
      <w:r w:rsidRPr="00177DF7">
        <w:rPr>
          <w:rStyle w:val="eop"/>
          <w:rFonts w:ascii="Calibri" w:hAnsi="Calibri" w:cs="Calibri"/>
        </w:rPr>
        <w:t> </w:t>
      </w:r>
    </w:p>
    <w:p w14:paraId="67FDF33E" w14:textId="77777777" w:rsidR="00177DF7" w:rsidRPr="00D20B82" w:rsidRDefault="00177DF7" w:rsidP="00177DF7">
      <w:pPr>
        <w:pStyle w:val="ListParagraph"/>
        <w:numPr>
          <w:ilvl w:val="0"/>
          <w:numId w:val="26"/>
        </w:numPr>
        <w:jc w:val="both"/>
      </w:pPr>
      <w:r w:rsidRPr="00177DF7">
        <w:rPr>
          <w:rStyle w:val="normaltextrun"/>
          <w:rFonts w:ascii="Calibri" w:hAnsi="Calibri" w:cs="Calibri"/>
        </w:rPr>
        <w:t>Cloud</w:t>
      </w:r>
      <w:r w:rsidRPr="00177DF7">
        <w:rPr>
          <w:rStyle w:val="eop"/>
          <w:rFonts w:ascii="Calibri" w:hAnsi="Calibri" w:cs="Calibri"/>
        </w:rPr>
        <w:t> </w:t>
      </w:r>
    </w:p>
    <w:p w14:paraId="146974E2" w14:textId="77777777" w:rsidR="00177DF7" w:rsidRPr="00D20B82" w:rsidRDefault="00177DF7" w:rsidP="00177DF7">
      <w:pPr>
        <w:pStyle w:val="ListParagraph"/>
        <w:numPr>
          <w:ilvl w:val="0"/>
          <w:numId w:val="26"/>
        </w:numPr>
        <w:jc w:val="both"/>
      </w:pPr>
      <w:r w:rsidRPr="00177DF7">
        <w:rPr>
          <w:rStyle w:val="normaltextrun"/>
          <w:rFonts w:ascii="Calibri" w:hAnsi="Calibri" w:cs="Calibri"/>
        </w:rPr>
        <w:t>Big Data</w:t>
      </w:r>
      <w:r w:rsidRPr="00177DF7">
        <w:rPr>
          <w:rStyle w:val="eop"/>
          <w:rFonts w:ascii="Calibri" w:hAnsi="Calibri" w:cs="Calibri"/>
        </w:rPr>
        <w:t> </w:t>
      </w:r>
    </w:p>
    <w:p w14:paraId="2CB5B009" w14:textId="77777777" w:rsidR="00177DF7" w:rsidRPr="00D20B82" w:rsidRDefault="00177DF7" w:rsidP="00177DF7">
      <w:pPr>
        <w:pStyle w:val="ListParagraph"/>
        <w:numPr>
          <w:ilvl w:val="0"/>
          <w:numId w:val="26"/>
        </w:numPr>
        <w:jc w:val="both"/>
      </w:pPr>
      <w:r w:rsidRPr="005F45E6">
        <w:t>Data engineering</w:t>
      </w:r>
      <w:r w:rsidRPr="00177DF7">
        <w:rPr>
          <w:rStyle w:val="eop"/>
          <w:rFonts w:ascii="Calibri" w:hAnsi="Calibri" w:cs="Calibri"/>
        </w:rPr>
        <w:t> </w:t>
      </w:r>
    </w:p>
    <w:p w14:paraId="5E0AE094" w14:textId="7A2DA9EA" w:rsidR="00CA42B3" w:rsidRPr="002E5E53" w:rsidRDefault="00CA42B3" w:rsidP="00F35074">
      <w:pPr>
        <w:jc w:val="both"/>
        <w:rPr>
          <w:b/>
          <w:bCs/>
        </w:rPr>
      </w:pPr>
      <w:r w:rsidRPr="002E5E53">
        <w:rPr>
          <w:b/>
          <w:bCs/>
        </w:rPr>
        <w:t>Platforms</w:t>
      </w:r>
    </w:p>
    <w:p w14:paraId="58A16816" w14:textId="5F0C5D6C" w:rsidR="00CA42B3" w:rsidRPr="00D20B82" w:rsidRDefault="00CA42B3" w:rsidP="00F35074">
      <w:pPr>
        <w:pStyle w:val="ListParagraph"/>
        <w:numPr>
          <w:ilvl w:val="0"/>
          <w:numId w:val="11"/>
        </w:numPr>
        <w:jc w:val="both"/>
      </w:pPr>
      <w:r>
        <w:t>AI &amp; analytics</w:t>
      </w:r>
    </w:p>
    <w:p w14:paraId="107888E9" w14:textId="4A4604ED" w:rsidR="00A96B12" w:rsidRPr="002E5E53" w:rsidRDefault="00A96B12" w:rsidP="00F35074">
      <w:pPr>
        <w:jc w:val="both"/>
        <w:rPr>
          <w:b/>
          <w:bCs/>
        </w:rPr>
      </w:pPr>
      <w:r w:rsidRPr="002E5E53">
        <w:rPr>
          <w:b/>
          <w:bCs/>
        </w:rPr>
        <w:t>About Us</w:t>
      </w:r>
    </w:p>
    <w:p w14:paraId="3FF2BA8D" w14:textId="77777777" w:rsidR="002D2AC9" w:rsidRDefault="002D2AC9" w:rsidP="002D2AC9">
      <w:pPr>
        <w:pStyle w:val="ListParagraph"/>
        <w:numPr>
          <w:ilvl w:val="0"/>
          <w:numId w:val="11"/>
        </w:numPr>
        <w:jc w:val="both"/>
      </w:pPr>
      <w:r>
        <w:t>Our story</w:t>
      </w:r>
    </w:p>
    <w:p w14:paraId="5DEB7D7A" w14:textId="77777777" w:rsidR="002D2AC9" w:rsidRDefault="002D2AC9" w:rsidP="002D2AC9">
      <w:pPr>
        <w:pStyle w:val="ListParagraph"/>
        <w:numPr>
          <w:ilvl w:val="0"/>
          <w:numId w:val="11"/>
        </w:numPr>
        <w:jc w:val="both"/>
      </w:pPr>
      <w:r>
        <w:t>Leadership</w:t>
      </w:r>
    </w:p>
    <w:p w14:paraId="2E398B63" w14:textId="77777777" w:rsidR="002D2AC9" w:rsidRDefault="002D2AC9" w:rsidP="002D2AC9">
      <w:pPr>
        <w:pStyle w:val="ListParagraph"/>
        <w:numPr>
          <w:ilvl w:val="0"/>
          <w:numId w:val="11"/>
        </w:numPr>
        <w:jc w:val="both"/>
      </w:pPr>
      <w:r>
        <w:t>Board</w:t>
      </w:r>
    </w:p>
    <w:p w14:paraId="70A5152D" w14:textId="77777777" w:rsidR="002D2AC9" w:rsidRDefault="002D2AC9" w:rsidP="002D2AC9">
      <w:pPr>
        <w:pStyle w:val="ListParagraph"/>
        <w:numPr>
          <w:ilvl w:val="0"/>
          <w:numId w:val="11"/>
        </w:numPr>
        <w:jc w:val="both"/>
      </w:pPr>
      <w:r>
        <w:t>Compliance</w:t>
      </w:r>
    </w:p>
    <w:p w14:paraId="082A52BE" w14:textId="77777777" w:rsidR="002D2AC9" w:rsidRDefault="002D2AC9" w:rsidP="002D2AC9">
      <w:pPr>
        <w:pStyle w:val="ListParagraph"/>
        <w:numPr>
          <w:ilvl w:val="0"/>
          <w:numId w:val="11"/>
        </w:numPr>
        <w:jc w:val="both"/>
      </w:pPr>
      <w:r>
        <w:t>Work @i2e</w:t>
      </w:r>
    </w:p>
    <w:p w14:paraId="5AB4EC02" w14:textId="77777777" w:rsidR="002D2AC9" w:rsidRDefault="002D2AC9" w:rsidP="002D2AC9">
      <w:pPr>
        <w:pStyle w:val="ListParagraph"/>
        <w:numPr>
          <w:ilvl w:val="0"/>
          <w:numId w:val="11"/>
        </w:numPr>
        <w:jc w:val="both"/>
      </w:pPr>
      <w:r>
        <w:t>Contact us</w:t>
      </w:r>
    </w:p>
    <w:p w14:paraId="3A698FA4" w14:textId="77777777" w:rsidR="00A96B12" w:rsidRPr="00D20B82" w:rsidRDefault="00A96B12" w:rsidP="00F35074">
      <w:pPr>
        <w:jc w:val="both"/>
      </w:pPr>
    </w:p>
    <w:p w14:paraId="4A218833" w14:textId="77777777" w:rsidR="00794DBC" w:rsidRPr="00794DBC" w:rsidRDefault="00794DBC" w:rsidP="00F35074">
      <w:pPr>
        <w:jc w:val="both"/>
        <w:rPr>
          <w:b/>
          <w:bCs/>
        </w:rPr>
      </w:pPr>
      <w:r w:rsidRPr="00794DBC">
        <w:rPr>
          <w:b/>
          <w:bCs/>
        </w:rPr>
        <w:t>About Us</w:t>
      </w:r>
    </w:p>
    <w:p w14:paraId="2643E26C" w14:textId="2DB7E608" w:rsidR="00A96B12" w:rsidRDefault="00F85FF8" w:rsidP="00F35074">
      <w:pPr>
        <w:jc w:val="both"/>
      </w:pPr>
      <w:r w:rsidRPr="00D20B82">
        <w:t>Our story</w:t>
      </w:r>
    </w:p>
    <w:p w14:paraId="7A7C2604" w14:textId="17893170" w:rsidR="00634DED" w:rsidRPr="00634DED" w:rsidRDefault="00634DED" w:rsidP="00634DED">
      <w:pPr>
        <w:jc w:val="both"/>
      </w:pPr>
      <w:r w:rsidRPr="00634DED">
        <w:t>i2e leads digital transformation for the life sciences industry through best-in-class innovative technology solutions. Our market leading execution capabilities and domain expertise help pharmaceutical companies, biotech, and healthcare organizations deliver innovations that create a healthier world.</w:t>
      </w:r>
    </w:p>
    <w:p w14:paraId="07CB6B8E" w14:textId="4DE9E084" w:rsidR="00634DED" w:rsidRPr="00634DED" w:rsidRDefault="00634DED" w:rsidP="00634DED">
      <w:pPr>
        <w:jc w:val="both"/>
      </w:pPr>
      <w:r w:rsidRPr="00634DED">
        <w:t>We help R&amp;D, clinical development, commercialization, pharmaceutical sciences, drug safety, regulatory functions accelerate time-to-value, prioritize industry</w:t>
      </w:r>
      <w:r w:rsidR="00E57794">
        <w:t>-</w:t>
      </w:r>
      <w:r w:rsidRPr="00634DED">
        <w:t>leading innovation, and establish portfolio leadership.</w:t>
      </w:r>
    </w:p>
    <w:p w14:paraId="612B74AC" w14:textId="28B8D3B0" w:rsidR="00794DBC" w:rsidRDefault="00794DBC" w:rsidP="00F35074">
      <w:pPr>
        <w:jc w:val="both"/>
      </w:pPr>
      <w:r w:rsidRPr="00794DBC">
        <w:t>Named one of the fastest growing private companies in the US in the 2023 Inc. 5000</w:t>
      </w:r>
      <w:r>
        <w:t xml:space="preserve"> list</w:t>
      </w:r>
      <w:r w:rsidRPr="00794DBC">
        <w:t xml:space="preserve">, i2e Consulting </w:t>
      </w:r>
      <w:r>
        <w:t>is</w:t>
      </w:r>
      <w:r w:rsidRPr="00794DBC">
        <w:t xml:space="preserve"> </w:t>
      </w:r>
      <w:r w:rsidR="00E41AED">
        <w:t>life sciences preferred partner for digital transformation</w:t>
      </w:r>
      <w:r w:rsidRPr="00794DBC">
        <w:t xml:space="preserve">. </w:t>
      </w:r>
      <w:r w:rsidR="0037647E">
        <w:t xml:space="preserve">We are </w:t>
      </w:r>
      <w:r w:rsidRPr="00794DBC">
        <w:t>ISO9001 and ISM27001 certified which is a recognition of our commitment towards continuous improvement of process and data security.</w:t>
      </w:r>
    </w:p>
    <w:p w14:paraId="315AB2FB" w14:textId="0EF22C0C" w:rsidR="002E5E53" w:rsidRPr="002E5E53" w:rsidRDefault="002E5E53" w:rsidP="00F35074">
      <w:pPr>
        <w:jc w:val="both"/>
        <w:rPr>
          <w:b/>
          <w:bCs/>
        </w:rPr>
      </w:pPr>
      <w:r w:rsidRPr="002E5E53">
        <w:rPr>
          <w:b/>
          <w:bCs/>
        </w:rPr>
        <w:t xml:space="preserve">Our </w:t>
      </w:r>
      <w:r w:rsidR="00057DEA">
        <w:rPr>
          <w:b/>
          <w:bCs/>
        </w:rPr>
        <w:t>Purpose</w:t>
      </w:r>
    </w:p>
    <w:p w14:paraId="3474E539" w14:textId="11C200A5" w:rsidR="002E5E53" w:rsidRDefault="002E5E53" w:rsidP="00F35074">
      <w:pPr>
        <w:jc w:val="both"/>
        <w:rPr>
          <w:lang w:val="en-US"/>
        </w:rPr>
      </w:pPr>
      <w:r w:rsidRPr="00BD5C08">
        <w:rPr>
          <w:color w:val="44546A" w:themeColor="text2"/>
          <w:lang w:val="en-US"/>
        </w:rPr>
        <w:t>Driving change for better healthcare decisions</w:t>
      </w:r>
      <w:r>
        <w:rPr>
          <w:lang w:val="en-US"/>
        </w:rPr>
        <w:t>.</w:t>
      </w:r>
    </w:p>
    <w:p w14:paraId="34998C7D" w14:textId="09A53CF0" w:rsidR="002E5E53" w:rsidRDefault="002E5E53" w:rsidP="00F35074">
      <w:pPr>
        <w:jc w:val="both"/>
        <w:rPr>
          <w:lang w:val="en-US"/>
        </w:rPr>
      </w:pPr>
      <w:r>
        <w:rPr>
          <w:lang w:val="en-US"/>
        </w:rPr>
        <w:t xml:space="preserve">Whether it is helping life sciences organizations maximize their portfolio investments through PPM tools or helping commercial teams build an industry leading KOL program, our purpose is to drive change for better healthcare decisions. </w:t>
      </w:r>
    </w:p>
    <w:p w14:paraId="3F48F027" w14:textId="6A2CC397" w:rsidR="002E5E53" w:rsidRPr="002E5E53" w:rsidRDefault="002E5E53" w:rsidP="00F35074">
      <w:pPr>
        <w:jc w:val="both"/>
        <w:rPr>
          <w:b/>
          <w:bCs/>
          <w:lang w:val="en-US"/>
        </w:rPr>
      </w:pPr>
      <w:r w:rsidRPr="002E5E53">
        <w:rPr>
          <w:b/>
          <w:bCs/>
          <w:lang w:val="en-US"/>
        </w:rPr>
        <w:t>Our Vision</w:t>
      </w:r>
    </w:p>
    <w:p w14:paraId="7515B25D" w14:textId="77777777" w:rsidR="00BD5C08" w:rsidRPr="00057DEA" w:rsidRDefault="00BD5C08" w:rsidP="00F35074">
      <w:pPr>
        <w:jc w:val="both"/>
        <w:rPr>
          <w:color w:val="44546A" w:themeColor="text2"/>
          <w:lang w:val="en-US"/>
        </w:rPr>
      </w:pPr>
      <w:commentRangeStart w:id="0"/>
      <w:r w:rsidRPr="00BD5C08">
        <w:rPr>
          <w:color w:val="44546A" w:themeColor="text2"/>
          <w:lang w:val="en-US"/>
        </w:rPr>
        <w:t>Advancing healthcare</w:t>
      </w:r>
      <w:commentRangeEnd w:id="0"/>
      <w:r w:rsidR="008721F9">
        <w:rPr>
          <w:rStyle w:val="CommentReference"/>
        </w:rPr>
        <w:commentReference w:id="0"/>
      </w:r>
    </w:p>
    <w:p w14:paraId="51275CC0" w14:textId="48FB5973" w:rsidR="00057DEA" w:rsidRDefault="00057DEA" w:rsidP="00F35074">
      <w:pPr>
        <w:jc w:val="both"/>
      </w:pPr>
      <w:r>
        <w:t>We are c</w:t>
      </w:r>
      <w:r w:rsidRPr="00057DEA">
        <w:t xml:space="preserve">ommitted to advancing healthcare </w:t>
      </w:r>
      <w:r>
        <w:t xml:space="preserve">by helping organizations make pioneering healthcare innovations. We aim to </w:t>
      </w:r>
      <w:r w:rsidR="00EB55F1">
        <w:t>help life sciences organizations accelerate innovations to deliver better healthcare</w:t>
      </w:r>
      <w:r>
        <w:t>.</w:t>
      </w:r>
    </w:p>
    <w:p w14:paraId="3161FEC8" w14:textId="77777777" w:rsidR="00057DEA" w:rsidRPr="00BD5C08" w:rsidRDefault="00057DEA" w:rsidP="00F35074">
      <w:pPr>
        <w:jc w:val="both"/>
        <w:rPr>
          <w:lang w:val="en-US"/>
        </w:rPr>
      </w:pPr>
    </w:p>
    <w:p w14:paraId="29BDA6D4" w14:textId="5F52EE56" w:rsidR="00B62EFF" w:rsidRDefault="00BD5C08" w:rsidP="00F35074">
      <w:pPr>
        <w:jc w:val="both"/>
        <w:rPr>
          <w:b/>
          <w:bCs/>
          <w:lang w:val="en-US"/>
        </w:rPr>
      </w:pPr>
      <w:r>
        <w:rPr>
          <w:b/>
          <w:bCs/>
          <w:lang w:val="en-US"/>
        </w:rPr>
        <w:t>Our Mission</w:t>
      </w:r>
    </w:p>
    <w:p w14:paraId="1F73600A" w14:textId="77777777" w:rsidR="00BD5C08" w:rsidRPr="00BD5C08" w:rsidRDefault="00BD5C08" w:rsidP="00F35074">
      <w:pPr>
        <w:jc w:val="both"/>
        <w:rPr>
          <w:color w:val="44546A" w:themeColor="text2"/>
          <w:lang w:val="en-US"/>
        </w:rPr>
      </w:pPr>
      <w:r w:rsidRPr="00BD5C08">
        <w:rPr>
          <w:color w:val="44546A" w:themeColor="text2"/>
          <w:lang w:val="en-US"/>
        </w:rPr>
        <w:t>Accelerating healthcare innovations</w:t>
      </w:r>
    </w:p>
    <w:p w14:paraId="56CDC268" w14:textId="70CA8014" w:rsidR="00057DEA" w:rsidRPr="00057DEA" w:rsidRDefault="00F35074" w:rsidP="00F35074">
      <w:pPr>
        <w:jc w:val="both"/>
        <w:rPr>
          <w:lang w:val="en-US"/>
        </w:rPr>
      </w:pPr>
      <w:r>
        <w:rPr>
          <w:lang w:val="en-US"/>
        </w:rPr>
        <w:t>O</w:t>
      </w:r>
      <w:r w:rsidR="00057DEA" w:rsidRPr="00057DEA">
        <w:rPr>
          <w:lang w:val="en-US"/>
        </w:rPr>
        <w:t>ur mission is to pioneer innovative solutions</w:t>
      </w:r>
      <w:r w:rsidR="00C2585C">
        <w:rPr>
          <w:lang w:val="en-US"/>
        </w:rPr>
        <w:t xml:space="preserve"> that help </w:t>
      </w:r>
      <w:r w:rsidR="00057DEA" w:rsidRPr="00057DEA">
        <w:rPr>
          <w:lang w:val="en-US"/>
        </w:rPr>
        <w:t xml:space="preserve">foster </w:t>
      </w:r>
      <w:r w:rsidR="00C2585C">
        <w:rPr>
          <w:lang w:val="en-US"/>
        </w:rPr>
        <w:t>data-driven excellence</w:t>
      </w:r>
      <w:r w:rsidR="00057DEA" w:rsidRPr="00057DEA">
        <w:rPr>
          <w:lang w:val="en-US"/>
        </w:rPr>
        <w:t xml:space="preserve">. We strive </w:t>
      </w:r>
      <w:r w:rsidR="00C2585C">
        <w:rPr>
          <w:lang w:val="en-US"/>
        </w:rPr>
        <w:t xml:space="preserve">to help life sciences organizations drive strategic insights in </w:t>
      </w:r>
      <w:r w:rsidR="00057DEA" w:rsidRPr="00057DEA">
        <w:rPr>
          <w:lang w:val="en-US"/>
        </w:rPr>
        <w:t>research</w:t>
      </w:r>
      <w:r w:rsidR="00C2585C">
        <w:rPr>
          <w:lang w:val="en-US"/>
        </w:rPr>
        <w:t xml:space="preserve"> and development, access, </w:t>
      </w:r>
      <w:r w:rsidR="00057DEA" w:rsidRPr="00057DEA">
        <w:rPr>
          <w:lang w:val="en-US"/>
        </w:rPr>
        <w:t>and patient care, forging a path towards a future where accessible</w:t>
      </w:r>
      <w:r w:rsidR="00C2585C">
        <w:rPr>
          <w:lang w:val="en-US"/>
        </w:rPr>
        <w:t xml:space="preserve"> </w:t>
      </w:r>
      <w:r w:rsidR="00057DEA" w:rsidRPr="00057DEA">
        <w:rPr>
          <w:lang w:val="en-US"/>
        </w:rPr>
        <w:t xml:space="preserve">and </w:t>
      </w:r>
      <w:r w:rsidR="00C2585C">
        <w:rPr>
          <w:lang w:val="en-US"/>
        </w:rPr>
        <w:t>equitable</w:t>
      </w:r>
      <w:r w:rsidR="00057DEA" w:rsidRPr="00057DEA">
        <w:rPr>
          <w:lang w:val="en-US"/>
        </w:rPr>
        <w:t xml:space="preserve"> healthcare transforms the well-being of communities worldwide.</w:t>
      </w:r>
    </w:p>
    <w:p w14:paraId="14D14ACD" w14:textId="6BB5CC42" w:rsidR="002E5E53" w:rsidRDefault="002E5E53" w:rsidP="00F35074">
      <w:pPr>
        <w:jc w:val="both"/>
        <w:rPr>
          <w:b/>
          <w:bCs/>
          <w:lang w:val="en-US"/>
        </w:rPr>
      </w:pPr>
      <w:r w:rsidRPr="002E5E53">
        <w:rPr>
          <w:b/>
          <w:bCs/>
          <w:lang w:val="en-US"/>
        </w:rPr>
        <w:t>Our values</w:t>
      </w:r>
    </w:p>
    <w:p w14:paraId="1281068D" w14:textId="2EEB4870" w:rsidR="002E5E53" w:rsidRPr="002E5E53" w:rsidRDefault="00BD5C08" w:rsidP="00F35074">
      <w:pPr>
        <w:jc w:val="both"/>
        <w:rPr>
          <w:b/>
          <w:bCs/>
          <w:lang w:val="en-US"/>
        </w:rPr>
      </w:pPr>
      <w:r>
        <w:rPr>
          <w:b/>
          <w:bCs/>
          <w:lang w:val="en-US"/>
        </w:rPr>
        <w:t>Customer focused</w:t>
      </w:r>
    </w:p>
    <w:p w14:paraId="43FF1B12" w14:textId="51A8706A" w:rsidR="002E5E53" w:rsidRDefault="002E5E53" w:rsidP="00F35074">
      <w:pPr>
        <w:jc w:val="both"/>
        <w:rPr>
          <w:lang w:val="en-US"/>
        </w:rPr>
      </w:pPr>
      <w:r>
        <w:rPr>
          <w:lang w:val="en-US"/>
        </w:rPr>
        <w:t>We want to be your preferred partner for digital transformation. That means being upfront about our capabilities, when we can meet them and when we think we can’t. That’s why you will find our team is sought after as solution advisors by most people in the industry.</w:t>
      </w:r>
    </w:p>
    <w:p w14:paraId="29279D45" w14:textId="2DAFF251" w:rsidR="00BD5C08" w:rsidRDefault="00BD5C08" w:rsidP="00F35074">
      <w:pPr>
        <w:jc w:val="both"/>
        <w:rPr>
          <w:b/>
          <w:bCs/>
          <w:lang w:val="en-US"/>
        </w:rPr>
      </w:pPr>
      <w:r>
        <w:rPr>
          <w:b/>
          <w:bCs/>
          <w:lang w:val="en-US"/>
        </w:rPr>
        <w:t>People first</w:t>
      </w:r>
    </w:p>
    <w:p w14:paraId="61CB754F" w14:textId="77777777" w:rsidR="001F63CA" w:rsidRPr="001F63CA" w:rsidRDefault="001F63CA" w:rsidP="001F63CA">
      <w:pPr>
        <w:jc w:val="both"/>
        <w:rPr>
          <w:lang w:val="en-US"/>
        </w:rPr>
      </w:pPr>
      <w:r>
        <w:rPr>
          <w:lang w:val="en-US"/>
        </w:rPr>
        <w:t xml:space="preserve">i2e at its core is a </w:t>
      </w:r>
      <w:r w:rsidRPr="001F63CA">
        <w:rPr>
          <w:lang w:val="en-US"/>
        </w:rPr>
        <w:t>People First</w:t>
      </w:r>
      <w:r>
        <w:rPr>
          <w:lang w:val="en-US"/>
        </w:rPr>
        <w:t xml:space="preserve"> organization.</w:t>
      </w:r>
      <w:r w:rsidRPr="001F63CA">
        <w:rPr>
          <w:lang w:val="en-US"/>
        </w:rPr>
        <w:t xml:space="preserve"> This value </w:t>
      </w:r>
      <w:r>
        <w:rPr>
          <w:lang w:val="en-US"/>
        </w:rPr>
        <w:t xml:space="preserve">demonstrates our </w:t>
      </w:r>
      <w:r w:rsidRPr="001F63CA">
        <w:rPr>
          <w:lang w:val="en-US"/>
        </w:rPr>
        <w:t xml:space="preserve">commitment to the well-being, growth, and fulfillment of individuals within our community. By fostering a </w:t>
      </w:r>
      <w:r>
        <w:rPr>
          <w:lang w:val="en-US"/>
        </w:rPr>
        <w:t>people-first culture</w:t>
      </w:r>
      <w:r w:rsidRPr="001F63CA">
        <w:rPr>
          <w:lang w:val="en-US"/>
        </w:rPr>
        <w:t>, we believe in harnessing the collective strength of our people to drive lasting success and shared prosperity.</w:t>
      </w:r>
    </w:p>
    <w:p w14:paraId="7555A5D4" w14:textId="43DB8C25" w:rsidR="002E5E53" w:rsidRDefault="00BD5C08" w:rsidP="00F35074">
      <w:pPr>
        <w:jc w:val="both"/>
        <w:rPr>
          <w:b/>
          <w:bCs/>
          <w:lang w:val="en-US"/>
        </w:rPr>
      </w:pPr>
      <w:r>
        <w:rPr>
          <w:b/>
          <w:bCs/>
          <w:lang w:val="en-US"/>
        </w:rPr>
        <w:t>E</w:t>
      </w:r>
      <w:r w:rsidR="001F63CA">
        <w:rPr>
          <w:b/>
          <w:bCs/>
          <w:lang w:val="en-US"/>
        </w:rPr>
        <w:t>xcellence</w:t>
      </w:r>
    </w:p>
    <w:p w14:paraId="63C1EFA5" w14:textId="253F16CA" w:rsidR="001830E3" w:rsidRPr="001830E3" w:rsidRDefault="001E1643" w:rsidP="00F35074">
      <w:pPr>
        <w:jc w:val="both"/>
        <w:rPr>
          <w:lang w:val="en-US"/>
        </w:rPr>
      </w:pPr>
      <w:r>
        <w:rPr>
          <w:lang w:val="en-US"/>
        </w:rPr>
        <w:t xml:space="preserve">We drive excellence in the solutions that we deliver, the expertise that we provide and the impact that we create. </w:t>
      </w:r>
      <w:r w:rsidR="001F63CA" w:rsidRPr="001E1643">
        <w:rPr>
          <w:lang w:val="en-US"/>
        </w:rPr>
        <w:t>We believe that through this commitment</w:t>
      </w:r>
      <w:r>
        <w:rPr>
          <w:lang w:val="en-US"/>
        </w:rPr>
        <w:t xml:space="preserve"> to excellence</w:t>
      </w:r>
      <w:r w:rsidR="001F63CA" w:rsidRPr="001E1643">
        <w:rPr>
          <w:lang w:val="en-US"/>
        </w:rPr>
        <w:t xml:space="preserve">, we </w:t>
      </w:r>
      <w:r>
        <w:rPr>
          <w:lang w:val="en-US"/>
        </w:rPr>
        <w:t xml:space="preserve">are </w:t>
      </w:r>
      <w:r w:rsidR="001F63CA" w:rsidRPr="001E1643">
        <w:rPr>
          <w:lang w:val="en-US"/>
        </w:rPr>
        <w:t>contribut</w:t>
      </w:r>
      <w:r>
        <w:rPr>
          <w:lang w:val="en-US"/>
        </w:rPr>
        <w:t>ing</w:t>
      </w:r>
      <w:r w:rsidR="001F63CA" w:rsidRPr="001E1643">
        <w:rPr>
          <w:lang w:val="en-US"/>
        </w:rPr>
        <w:t xml:space="preserve"> to </w:t>
      </w:r>
      <w:r>
        <w:rPr>
          <w:lang w:val="en-US"/>
        </w:rPr>
        <w:t xml:space="preserve">the advancement of </w:t>
      </w:r>
      <w:r w:rsidR="001F63CA" w:rsidRPr="001E1643">
        <w:rPr>
          <w:lang w:val="en-US"/>
        </w:rPr>
        <w:t>medical discovery and progress.</w:t>
      </w:r>
    </w:p>
    <w:p w14:paraId="6037D759" w14:textId="53B0CFC4" w:rsidR="001830E3" w:rsidRDefault="00BD5C08" w:rsidP="00F35074">
      <w:pPr>
        <w:jc w:val="both"/>
        <w:rPr>
          <w:b/>
          <w:bCs/>
        </w:rPr>
      </w:pPr>
      <w:r>
        <w:rPr>
          <w:b/>
          <w:bCs/>
        </w:rPr>
        <w:t>Innovation-led</w:t>
      </w:r>
    </w:p>
    <w:p w14:paraId="53BBCD4C" w14:textId="0D6EB959" w:rsidR="001E1643" w:rsidRPr="001E1643" w:rsidRDefault="001E1643" w:rsidP="00F35074">
      <w:pPr>
        <w:jc w:val="both"/>
        <w:rPr>
          <w:lang w:val="en-US"/>
        </w:rPr>
      </w:pPr>
      <w:r w:rsidRPr="001E1643">
        <w:rPr>
          <w:lang w:val="en-US"/>
        </w:rPr>
        <w:t xml:space="preserve">In the realm of healthcare </w:t>
      </w:r>
      <w:r>
        <w:rPr>
          <w:lang w:val="en-US"/>
        </w:rPr>
        <w:t xml:space="preserve">data and </w:t>
      </w:r>
      <w:r w:rsidRPr="001E1643">
        <w:rPr>
          <w:lang w:val="en-US"/>
        </w:rPr>
        <w:t xml:space="preserve">analytics, we relentlessly pursue </w:t>
      </w:r>
      <w:r>
        <w:rPr>
          <w:lang w:val="en-US"/>
        </w:rPr>
        <w:t xml:space="preserve">and champion </w:t>
      </w:r>
      <w:r w:rsidRPr="001E1643">
        <w:rPr>
          <w:lang w:val="en-US"/>
        </w:rPr>
        <w:t>innovation.</w:t>
      </w:r>
      <w:r>
        <w:rPr>
          <w:lang w:val="en-US"/>
        </w:rPr>
        <w:t xml:space="preserve"> Our innovation lab creates tech breakthroughs that are customer</w:t>
      </w:r>
      <w:r w:rsidR="00411A1A">
        <w:rPr>
          <w:lang w:val="en-US"/>
        </w:rPr>
        <w:t xml:space="preserve"> </w:t>
      </w:r>
      <w:r>
        <w:rPr>
          <w:lang w:val="en-US"/>
        </w:rPr>
        <w:t xml:space="preserve">focused. </w:t>
      </w:r>
      <w:r w:rsidRPr="001E1643">
        <w:rPr>
          <w:lang w:val="en-US"/>
        </w:rPr>
        <w:t xml:space="preserve">Our commitment to continuous innovation </w:t>
      </w:r>
      <w:r>
        <w:rPr>
          <w:lang w:val="en-US"/>
        </w:rPr>
        <w:t>enables us to be trusted advisors to our customers</w:t>
      </w:r>
      <w:r w:rsidRPr="001E1643">
        <w:rPr>
          <w:lang w:val="en-US"/>
        </w:rPr>
        <w:t xml:space="preserve">, empowering pharmaceutical research to thrive in an era of unprecedented </w:t>
      </w:r>
      <w:r>
        <w:rPr>
          <w:lang w:val="en-US"/>
        </w:rPr>
        <w:t xml:space="preserve">challenges in </w:t>
      </w:r>
      <w:r w:rsidRPr="001E1643">
        <w:rPr>
          <w:lang w:val="en-US"/>
        </w:rPr>
        <w:t>discovery and progress.</w:t>
      </w:r>
    </w:p>
    <w:p w14:paraId="714C47F4" w14:textId="64BEA73C" w:rsidR="00BD5C08" w:rsidRPr="002E5E53" w:rsidRDefault="00BD5C08" w:rsidP="00F35074">
      <w:pPr>
        <w:jc w:val="both"/>
        <w:rPr>
          <w:b/>
          <w:bCs/>
        </w:rPr>
      </w:pPr>
      <w:r>
        <w:rPr>
          <w:b/>
          <w:bCs/>
        </w:rPr>
        <w:t>Diversity</w:t>
      </w:r>
    </w:p>
    <w:p w14:paraId="31CA67C1" w14:textId="2C600519" w:rsidR="002E5E53" w:rsidRPr="001E1643" w:rsidRDefault="001E1643" w:rsidP="00F35074">
      <w:pPr>
        <w:jc w:val="both"/>
        <w:rPr>
          <w:lang w:val="en-US"/>
        </w:rPr>
      </w:pPr>
      <w:r>
        <w:rPr>
          <w:lang w:val="en-US"/>
        </w:rPr>
        <w:t>We</w:t>
      </w:r>
      <w:r w:rsidRPr="001E1643">
        <w:rPr>
          <w:lang w:val="en-US"/>
        </w:rPr>
        <w:t xml:space="preserve"> recognize the strength in varied perspectives and backgrounds. By fostering an inclusive environment, we harness diverse talents, ideas, and experiences, driving innovation and excellence in our pursuit</w:t>
      </w:r>
      <w:r>
        <w:rPr>
          <w:lang w:val="en-US"/>
        </w:rPr>
        <w:t xml:space="preserve"> of healthcare excellence.</w:t>
      </w:r>
    </w:p>
    <w:p w14:paraId="0208E870" w14:textId="77777777" w:rsidR="00794DBC" w:rsidRPr="00794DBC" w:rsidRDefault="00794DBC" w:rsidP="00F35074">
      <w:pPr>
        <w:jc w:val="both"/>
        <w:rPr>
          <w:b/>
          <w:bCs/>
        </w:rPr>
      </w:pPr>
    </w:p>
    <w:p w14:paraId="6BA039F0" w14:textId="75D444CE" w:rsidR="00794DBC" w:rsidRDefault="00794DBC" w:rsidP="00F35074">
      <w:pPr>
        <w:jc w:val="both"/>
        <w:rPr>
          <w:b/>
          <w:bCs/>
        </w:rPr>
      </w:pPr>
      <w:r w:rsidRPr="00794DBC">
        <w:rPr>
          <w:b/>
          <w:bCs/>
        </w:rPr>
        <w:t>Our leadership</w:t>
      </w:r>
    </w:p>
    <w:p w14:paraId="26368717" w14:textId="473A76C0" w:rsidR="002E5E53" w:rsidRDefault="002E5E53" w:rsidP="25F8F818">
      <w:pPr>
        <w:ind w:firstLine="720"/>
        <w:jc w:val="both"/>
        <w:rPr>
          <w:b/>
          <w:bCs/>
        </w:rPr>
      </w:pPr>
      <w:r w:rsidRPr="25F8F818">
        <w:rPr>
          <w:b/>
          <w:bCs/>
        </w:rPr>
        <w:t>Co-Founders</w:t>
      </w:r>
    </w:p>
    <w:p w14:paraId="2E861EF3" w14:textId="5E3F1ADE" w:rsidR="002E5E53" w:rsidRPr="002E5E53" w:rsidRDefault="002E5E53" w:rsidP="3FECAE9D">
      <w:pPr>
        <w:ind w:firstLine="720"/>
        <w:jc w:val="both"/>
      </w:pPr>
      <w:r>
        <w:t>&lt;Photographs of all co-founders&gt;</w:t>
      </w:r>
    </w:p>
    <w:p w14:paraId="1A7EDB75" w14:textId="26A0210F" w:rsidR="002E5E53" w:rsidRPr="002E5E53" w:rsidRDefault="002E5E53" w:rsidP="3FECAE9D">
      <w:pPr>
        <w:ind w:firstLine="720"/>
        <w:jc w:val="both"/>
      </w:pPr>
      <w:r>
        <w:t>Sudhir, Sri, Vishal</w:t>
      </w:r>
      <w:r w:rsidR="009549EA">
        <w:t>, Prashant</w:t>
      </w:r>
    </w:p>
    <w:p w14:paraId="5600EAC2" w14:textId="6FF5A96D" w:rsidR="002E5E53" w:rsidRDefault="6D3E1D3B" w:rsidP="3FECAE9D">
      <w:pPr>
        <w:ind w:firstLine="720"/>
        <w:jc w:val="both"/>
        <w:rPr>
          <w:b/>
          <w:bCs/>
        </w:rPr>
      </w:pPr>
      <w:r w:rsidRPr="3FECAE9D">
        <w:rPr>
          <w:b/>
          <w:bCs/>
        </w:rPr>
        <w:t>Board of Advisors [KOLs / Scientific Advisors]   - 6</w:t>
      </w:r>
    </w:p>
    <w:p w14:paraId="0372CC76" w14:textId="4387584F" w:rsidR="002E5E53" w:rsidRDefault="002E5E53" w:rsidP="3FECAE9D">
      <w:pPr>
        <w:ind w:firstLine="720"/>
        <w:jc w:val="both"/>
        <w:rPr>
          <w:b/>
          <w:bCs/>
        </w:rPr>
      </w:pPr>
      <w:r w:rsidRPr="3FECAE9D">
        <w:rPr>
          <w:b/>
          <w:bCs/>
        </w:rPr>
        <w:t>Management</w:t>
      </w:r>
      <w:r w:rsidR="23F4CCAD" w:rsidRPr="3FECAE9D">
        <w:rPr>
          <w:b/>
          <w:bCs/>
        </w:rPr>
        <w:t xml:space="preserve"> - 6</w:t>
      </w:r>
    </w:p>
    <w:p w14:paraId="016D99F4" w14:textId="77777777" w:rsidR="002E5E53" w:rsidRDefault="002E5E53" w:rsidP="00F35074">
      <w:pPr>
        <w:jc w:val="both"/>
        <w:rPr>
          <w:b/>
          <w:bCs/>
        </w:rPr>
      </w:pPr>
    </w:p>
    <w:p w14:paraId="3E69A8F9" w14:textId="23D0AB41" w:rsidR="00A40E2D" w:rsidRDefault="00A40E2D" w:rsidP="00F35074">
      <w:pPr>
        <w:jc w:val="both"/>
        <w:rPr>
          <w:b/>
          <w:bCs/>
        </w:rPr>
      </w:pPr>
      <w:r>
        <w:rPr>
          <w:b/>
          <w:bCs/>
        </w:rPr>
        <w:t>Offerings</w:t>
      </w:r>
    </w:p>
    <w:p w14:paraId="1DFC74AE" w14:textId="52C13773" w:rsidR="00DE62DA" w:rsidRDefault="00561DF3" w:rsidP="00F35074">
      <w:pPr>
        <w:jc w:val="both"/>
        <w:rPr>
          <w:b/>
          <w:bCs/>
        </w:rPr>
      </w:pPr>
      <w:r>
        <w:rPr>
          <w:b/>
          <w:bCs/>
        </w:rPr>
        <w:t>&lt;H2&gt;</w:t>
      </w:r>
      <w:r w:rsidR="00DE62DA">
        <w:rPr>
          <w:b/>
          <w:bCs/>
        </w:rPr>
        <w:t>Strategy and Consulting</w:t>
      </w:r>
      <w:r w:rsidR="00DD631A">
        <w:rPr>
          <w:b/>
          <w:bCs/>
        </w:rPr>
        <w:t>&lt;H2&gt;</w:t>
      </w:r>
    </w:p>
    <w:p w14:paraId="002C9AA4" w14:textId="7A4B2563" w:rsidR="00DE62DA" w:rsidRPr="00561DF3" w:rsidRDefault="00561DF3" w:rsidP="00DE62DA">
      <w:pPr>
        <w:spacing w:after="0" w:line="240" w:lineRule="auto"/>
        <w:jc w:val="both"/>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&lt;H3&gt;</w:t>
      </w:r>
      <w:r w:rsidR="00DE62DA" w:rsidRPr="00DE62DA">
        <w:rPr>
          <w:rFonts w:ascii="Calibri" w:eastAsia="Times New Roman" w:hAnsi="Calibri" w:cs="Calibri"/>
          <w:b/>
          <w:bCs/>
          <w:color w:val="000000"/>
          <w:kern w:val="0"/>
          <w:lang w:eastAsia="en-IN"/>
          <w14:ligatures w14:val="none"/>
        </w:rPr>
        <w:t>Strategic Portfolio Management</w:t>
      </w:r>
      <w:r w:rsidR="006C1727">
        <w:rPr>
          <w:rFonts w:ascii="Calibri" w:eastAsia="Times New Roman" w:hAnsi="Calibri" w:cs="Calibri"/>
          <w:b/>
          <w:bCs/>
          <w:color w:val="000000"/>
          <w:kern w:val="0"/>
          <w:lang w:eastAsia="en-IN"/>
          <w14:ligatures w14:val="none"/>
        </w:rPr>
        <w:t>&lt;H3&gt;</w:t>
      </w:r>
    </w:p>
    <w:p w14:paraId="1545BE30" w14:textId="55AA63FB" w:rsidR="00DE62DA" w:rsidRDefault="00DE62DA" w:rsidP="00DE62DA">
      <w:pPr>
        <w:spacing w:after="0" w:line="240" w:lineRule="auto"/>
        <w:jc w:val="both"/>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i2e’s strategic portfolio management services are based on </w:t>
      </w:r>
      <w:r w:rsidR="00BE2A46">
        <w:rPr>
          <w:rFonts w:ascii="Calibri" w:eastAsia="Times New Roman" w:hAnsi="Calibri" w:cs="Calibri"/>
          <w:color w:val="000000"/>
          <w:kern w:val="0"/>
          <w:lang w:eastAsia="en-IN"/>
          <w14:ligatures w14:val="none"/>
        </w:rPr>
        <w:t>a</w:t>
      </w:r>
      <w:r w:rsidR="00637FD0">
        <w:rPr>
          <w:rFonts w:ascii="Calibri" w:eastAsia="Times New Roman" w:hAnsi="Calibri" w:cs="Calibri"/>
          <w:color w:val="000000"/>
          <w:kern w:val="0"/>
          <w:lang w:eastAsia="en-IN"/>
          <w14:ligatures w14:val="none"/>
        </w:rPr>
        <w:t xml:space="preserve"> credentialed industry </w:t>
      </w:r>
      <w:r w:rsidRPr="00637FD0">
        <w:rPr>
          <w:rFonts w:ascii="Calibri" w:eastAsia="Times New Roman" w:hAnsi="Calibri" w:cs="Calibri"/>
          <w:color w:val="000000"/>
          <w:kern w:val="0"/>
          <w:lang w:eastAsia="en-IN"/>
          <w14:ligatures w14:val="none"/>
        </w:rPr>
        <w:t>framework</w:t>
      </w:r>
      <w:r>
        <w:rPr>
          <w:rFonts w:ascii="Calibri" w:eastAsia="Times New Roman" w:hAnsi="Calibri" w:cs="Calibri"/>
          <w:color w:val="000000"/>
          <w:kern w:val="0"/>
          <w:lang w:eastAsia="en-IN"/>
          <w14:ligatures w14:val="none"/>
        </w:rPr>
        <w:t>. We evaluate opportunities to help you maximize the value of your clinical assets through the entire drug lifecycle. We help deliver revenue mapped strategies for portfolio assessment, diversification, therapy area evaluation, and forecasting.</w:t>
      </w:r>
    </w:p>
    <w:p w14:paraId="3AED092F" w14:textId="7C164A8E" w:rsidR="00DE62DA" w:rsidRDefault="00DE62DA" w:rsidP="00DE62DA">
      <w:pPr>
        <w:spacing w:after="0" w:line="240" w:lineRule="auto"/>
        <w:jc w:val="both"/>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Our strategy and consulting services helps R&amp;D decision makers </w:t>
      </w:r>
      <w:r w:rsidR="00BE60BD">
        <w:rPr>
          <w:rFonts w:ascii="Calibri" w:eastAsia="Times New Roman" w:hAnsi="Calibri" w:cs="Calibri"/>
          <w:color w:val="000000"/>
          <w:kern w:val="0"/>
          <w:lang w:eastAsia="en-IN"/>
          <w14:ligatures w14:val="none"/>
        </w:rPr>
        <w:t xml:space="preserve">align </w:t>
      </w:r>
      <w:r>
        <w:rPr>
          <w:rFonts w:ascii="Calibri" w:eastAsia="Times New Roman" w:hAnsi="Calibri" w:cs="Calibri"/>
          <w:color w:val="000000"/>
          <w:kern w:val="0"/>
          <w:lang w:eastAsia="en-IN"/>
          <w14:ligatures w14:val="none"/>
        </w:rPr>
        <w:t>R&amp;D efforts with market needs and regulatory demands and help create opportunities for portfolio leadership.</w:t>
      </w:r>
    </w:p>
    <w:p w14:paraId="650D7955" w14:textId="77777777" w:rsidR="00DE62DA" w:rsidRPr="00DE62DA" w:rsidRDefault="00DE62DA" w:rsidP="00DE62DA">
      <w:pPr>
        <w:spacing w:after="0" w:line="240" w:lineRule="auto"/>
        <w:jc w:val="both"/>
        <w:rPr>
          <w:rFonts w:ascii="Calibri" w:eastAsia="Times New Roman" w:hAnsi="Calibri" w:cs="Calibri"/>
          <w:color w:val="000000"/>
          <w:kern w:val="0"/>
          <w:lang w:eastAsia="en-IN"/>
          <w14:ligatures w14:val="none"/>
        </w:rPr>
      </w:pPr>
    </w:p>
    <w:p w14:paraId="4DAFE628" w14:textId="720589F0" w:rsidR="00DE62DA" w:rsidRDefault="00561DF3" w:rsidP="00F35074">
      <w:pPr>
        <w:jc w:val="both"/>
        <w:rPr>
          <w:rFonts w:ascii="Calibri" w:eastAsia="Times New Roman" w:hAnsi="Calibri" w:cs="Calibri"/>
          <w:color w:val="000000"/>
          <w:kern w:val="0"/>
          <w:lang w:eastAsia="en-IN"/>
          <w14:ligatures w14:val="none"/>
        </w:rPr>
      </w:pPr>
      <w:r w:rsidRPr="006C1727">
        <w:rPr>
          <w:rFonts w:ascii="Calibri" w:eastAsia="Times New Roman" w:hAnsi="Calibri" w:cs="Calibri"/>
          <w:b/>
          <w:bCs/>
          <w:color w:val="000000"/>
          <w:kern w:val="0"/>
          <w:lang w:eastAsia="en-IN"/>
          <w14:ligatures w14:val="none"/>
        </w:rPr>
        <w:t>&lt;H4&gt;</w:t>
      </w:r>
      <w:r w:rsidR="00DE62DA" w:rsidRPr="006C1727">
        <w:rPr>
          <w:rFonts w:ascii="Calibri" w:eastAsia="Times New Roman" w:hAnsi="Calibri" w:cs="Calibri"/>
          <w:b/>
          <w:bCs/>
          <w:color w:val="000000"/>
          <w:kern w:val="0"/>
          <w:lang w:eastAsia="en-IN"/>
          <w14:ligatures w14:val="none"/>
        </w:rPr>
        <w:t>R&amp;D Portfolio Management</w:t>
      </w:r>
      <w:r w:rsidR="006C1727">
        <w:rPr>
          <w:rFonts w:ascii="Calibri" w:eastAsia="Times New Roman" w:hAnsi="Calibri" w:cs="Calibri"/>
          <w:b/>
          <w:bCs/>
          <w:color w:val="000000"/>
          <w:kern w:val="0"/>
          <w:lang w:eastAsia="en-IN"/>
          <w14:ligatures w14:val="none"/>
        </w:rPr>
        <w:t xml:space="preserve"> &lt;H4&gt;</w:t>
      </w:r>
    </w:p>
    <w:p w14:paraId="22B7D70C" w14:textId="54D59732" w:rsidR="006372C4" w:rsidRDefault="004A647C" w:rsidP="00F35074">
      <w:pPr>
        <w:jc w:val="both"/>
      </w:pPr>
      <w:r>
        <w:rPr>
          <w:rFonts w:ascii="Calibri" w:eastAsia="Times New Roman" w:hAnsi="Calibri" w:cs="Calibri"/>
          <w:color w:val="000000"/>
          <w:kern w:val="0"/>
          <w:lang w:eastAsia="en-IN"/>
          <w14:ligatures w14:val="none"/>
        </w:rPr>
        <w:t xml:space="preserve">Our domain experts integrate </w:t>
      </w:r>
      <w:r w:rsidR="00715A9F">
        <w:rPr>
          <w:rFonts w:ascii="Calibri" w:eastAsia="Times New Roman" w:hAnsi="Calibri" w:cs="Calibri"/>
          <w:color w:val="000000"/>
          <w:kern w:val="0"/>
          <w:lang w:eastAsia="en-IN"/>
          <w14:ligatures w14:val="none"/>
        </w:rPr>
        <w:t>s</w:t>
      </w:r>
      <w:r>
        <w:rPr>
          <w:rFonts w:ascii="Calibri" w:eastAsia="Times New Roman" w:hAnsi="Calibri" w:cs="Calibri"/>
          <w:color w:val="000000"/>
          <w:kern w:val="0"/>
          <w:lang w:eastAsia="en-IN"/>
          <w14:ligatures w14:val="none"/>
        </w:rPr>
        <w:t xml:space="preserve">trategic </w:t>
      </w:r>
      <w:r w:rsidR="00715A9F">
        <w:rPr>
          <w:rFonts w:ascii="Calibri" w:eastAsia="Times New Roman" w:hAnsi="Calibri" w:cs="Calibri"/>
          <w:color w:val="000000"/>
          <w:kern w:val="0"/>
          <w:lang w:eastAsia="en-IN"/>
          <w14:ligatures w14:val="none"/>
        </w:rPr>
        <w:t>R&amp;D g</w:t>
      </w:r>
      <w:r>
        <w:rPr>
          <w:rFonts w:ascii="Calibri" w:eastAsia="Times New Roman" w:hAnsi="Calibri" w:cs="Calibri"/>
          <w:color w:val="000000"/>
          <w:kern w:val="0"/>
          <w:lang w:eastAsia="en-IN"/>
          <w14:ligatures w14:val="none"/>
        </w:rPr>
        <w:t xml:space="preserve">oals and </w:t>
      </w:r>
      <w:r w:rsidR="00715A9F">
        <w:rPr>
          <w:rFonts w:ascii="Calibri" w:eastAsia="Times New Roman" w:hAnsi="Calibri" w:cs="Calibri"/>
          <w:color w:val="000000"/>
          <w:kern w:val="0"/>
          <w:lang w:eastAsia="en-IN"/>
          <w14:ligatures w14:val="none"/>
        </w:rPr>
        <w:t>h</w:t>
      </w:r>
      <w:r>
        <w:rPr>
          <w:rFonts w:ascii="Calibri" w:eastAsia="Times New Roman" w:hAnsi="Calibri" w:cs="Calibri"/>
          <w:color w:val="000000"/>
          <w:kern w:val="0"/>
          <w:lang w:eastAsia="en-IN"/>
          <w14:ligatures w14:val="none"/>
        </w:rPr>
        <w:t xml:space="preserve">orizon </w:t>
      </w:r>
      <w:r w:rsidR="00715A9F">
        <w:rPr>
          <w:rFonts w:ascii="Calibri" w:eastAsia="Times New Roman" w:hAnsi="Calibri" w:cs="Calibri"/>
          <w:color w:val="000000"/>
          <w:kern w:val="0"/>
          <w:lang w:eastAsia="en-IN"/>
          <w14:ligatures w14:val="none"/>
        </w:rPr>
        <w:t>p</w:t>
      </w:r>
      <w:r>
        <w:rPr>
          <w:rFonts w:ascii="Calibri" w:eastAsia="Times New Roman" w:hAnsi="Calibri" w:cs="Calibri"/>
          <w:color w:val="000000"/>
          <w:kern w:val="0"/>
          <w:lang w:eastAsia="en-IN"/>
          <w14:ligatures w14:val="none"/>
        </w:rPr>
        <w:t xml:space="preserve">lanning </w:t>
      </w:r>
      <w:r w:rsidR="00DA230D">
        <w:rPr>
          <w:rFonts w:ascii="Calibri" w:eastAsia="Times New Roman" w:hAnsi="Calibri" w:cs="Calibri"/>
          <w:color w:val="000000"/>
          <w:kern w:val="0"/>
          <w:lang w:eastAsia="en-IN"/>
          <w14:ligatures w14:val="none"/>
        </w:rPr>
        <w:t xml:space="preserve">to </w:t>
      </w:r>
      <w:r w:rsidR="006372C4">
        <w:t xml:space="preserve">develop empirical simulation models that can demonstrate </w:t>
      </w:r>
      <w:r>
        <w:t xml:space="preserve">probabilities </w:t>
      </w:r>
      <w:r w:rsidR="006372C4">
        <w:t>of success</w:t>
      </w:r>
      <w:r>
        <w:t xml:space="preserve"> for various assets in the R&amp;D portfolio</w:t>
      </w:r>
      <w:r w:rsidR="006372C4">
        <w:t xml:space="preserve">. </w:t>
      </w:r>
      <w:r>
        <w:t>We prioritize top</w:t>
      </w:r>
      <w:r w:rsidR="00637FD0">
        <w:t>-</w:t>
      </w:r>
      <w:r>
        <w:t xml:space="preserve"> and bottom</w:t>
      </w:r>
      <w:r w:rsidR="00637FD0">
        <w:t>-</w:t>
      </w:r>
      <w:r>
        <w:t xml:space="preserve">line metrics such as </w:t>
      </w:r>
      <w:r w:rsidR="006372C4">
        <w:t xml:space="preserve">Likelihood of Approval (LOA) and </w:t>
      </w:r>
      <w:r w:rsidR="007A389C">
        <w:t>P</w:t>
      </w:r>
      <w:r w:rsidR="007A389C" w:rsidRPr="007A389C">
        <w:t xml:space="preserve">hase </w:t>
      </w:r>
      <w:r w:rsidR="007A389C">
        <w:t>T</w:t>
      </w:r>
      <w:r w:rsidR="007A389C" w:rsidRPr="007A389C">
        <w:t xml:space="preserve">ransition </w:t>
      </w:r>
      <w:r w:rsidR="007A389C">
        <w:t>S</w:t>
      </w:r>
      <w:r w:rsidR="007A389C" w:rsidRPr="007A389C">
        <w:t xml:space="preserve">uccess </w:t>
      </w:r>
      <w:r w:rsidR="007A389C">
        <w:t>R</w:t>
      </w:r>
      <w:r w:rsidR="007A389C" w:rsidRPr="007A389C">
        <w:t xml:space="preserve">ate (PTSR) of a drug using proprietary </w:t>
      </w:r>
      <w:r w:rsidR="007A389C">
        <w:t xml:space="preserve">ML </w:t>
      </w:r>
      <w:r w:rsidR="007A389C" w:rsidRPr="007A389C">
        <w:t>models</w:t>
      </w:r>
      <w:r w:rsidR="00EB4FAA">
        <w:t>,</w:t>
      </w:r>
      <w:r w:rsidR="007A389C">
        <w:t xml:space="preserve"> </w:t>
      </w:r>
      <w:r>
        <w:t>while recommending strategies for value maximization. Our team of experts evaluate strategic deliverables right from opportunity identification, unmet needs, economic value of drug right down to the eNPV and commercialization costs.</w:t>
      </w:r>
    </w:p>
    <w:p w14:paraId="4046CD47" w14:textId="582C7A66" w:rsidR="00695229" w:rsidRDefault="00695229" w:rsidP="00F35074">
      <w:pPr>
        <w:jc w:val="both"/>
      </w:pPr>
      <w:r w:rsidRPr="00695229">
        <w:rPr>
          <w:i/>
          <w:iCs/>
        </w:rPr>
        <w:t>Value management</w:t>
      </w:r>
      <w:r>
        <w:t>: Whether you want to build market or therapy focus, our portfolio management services help you align innovation to strategy, pre-empt and manage portfolio risks.</w:t>
      </w:r>
    </w:p>
    <w:p w14:paraId="6DDF0136" w14:textId="6115D035" w:rsidR="00695229" w:rsidRDefault="00695229" w:rsidP="00F35074">
      <w:pPr>
        <w:jc w:val="both"/>
      </w:pPr>
      <w:r w:rsidRPr="00695229">
        <w:rPr>
          <w:i/>
          <w:iCs/>
        </w:rPr>
        <w:t>Predictive analytics</w:t>
      </w:r>
      <w:r>
        <w:t>: Reduce time-to-market, all through predictive analytics that inform better decisions.</w:t>
      </w:r>
    </w:p>
    <w:p w14:paraId="02F6EA08" w14:textId="202D78BD" w:rsidR="00F416DE" w:rsidRDefault="00F416DE" w:rsidP="00F35074">
      <w:pPr>
        <w:jc w:val="both"/>
      </w:pPr>
      <w:r w:rsidRPr="00F416DE">
        <w:rPr>
          <w:i/>
          <w:iCs/>
        </w:rPr>
        <w:t>Risk management</w:t>
      </w:r>
      <w:r>
        <w:t>: Manage project uncertainty to determi</w:t>
      </w:r>
      <w:r w:rsidR="00251F77">
        <w:t>ne project funding/closure. Manage adverse events better</w:t>
      </w:r>
      <w:r w:rsidR="00C84C2C">
        <w:t xml:space="preserve"> by leveraging available institutional and industry knowledge.</w:t>
      </w:r>
    </w:p>
    <w:p w14:paraId="1B825469" w14:textId="43123072" w:rsidR="00695229" w:rsidRDefault="00695229" w:rsidP="61665E09">
      <w:pPr>
        <w:spacing w:line="257" w:lineRule="auto"/>
        <w:ind w:left="-20" w:right="-20"/>
        <w:jc w:val="both"/>
      </w:pPr>
      <w:r w:rsidRPr="61665E09">
        <w:rPr>
          <w:i/>
          <w:iCs/>
        </w:rPr>
        <w:t>Data visualization</w:t>
      </w:r>
      <w:r w:rsidR="00637FD0">
        <w:t xml:space="preserve"> </w:t>
      </w:r>
      <w:r w:rsidR="41E2002E" w:rsidRPr="61665E09">
        <w:rPr>
          <w:rFonts w:ascii="Calibri" w:eastAsia="Calibri" w:hAnsi="Calibri" w:cs="Calibri"/>
        </w:rPr>
        <w:t>Guide portfolio review conversations through better data visualizations.</w:t>
      </w:r>
    </w:p>
    <w:p w14:paraId="50EA7BE4" w14:textId="504E580D" w:rsidR="00695229" w:rsidRDefault="00695229" w:rsidP="61665E09">
      <w:pPr>
        <w:jc w:val="both"/>
      </w:pPr>
    </w:p>
    <w:p w14:paraId="61376B0C" w14:textId="7F63B320" w:rsidR="004A647C" w:rsidRPr="006C1727" w:rsidRDefault="004A647C" w:rsidP="00F35074">
      <w:pPr>
        <w:jc w:val="both"/>
        <w:rPr>
          <w:b/>
          <w:bCs/>
        </w:rPr>
      </w:pPr>
      <w:r w:rsidRPr="006C1727">
        <w:rPr>
          <w:b/>
          <w:bCs/>
        </w:rPr>
        <w:t>Portfolio Decision Analytics</w:t>
      </w:r>
    </w:p>
    <w:p w14:paraId="43B50F6F" w14:textId="64A069A6" w:rsidR="004A647C" w:rsidRDefault="00511914" w:rsidP="00F35074">
      <w:pPr>
        <w:jc w:val="both"/>
      </w:pPr>
      <w:r>
        <w:t>Our capabilities in</w:t>
      </w:r>
      <w:r w:rsidRPr="00511914">
        <w:t xml:space="preserve"> predictive analytics</w:t>
      </w:r>
      <w:r>
        <w:t xml:space="preserve"> help R&amp;D executives drive </w:t>
      </w:r>
      <w:r w:rsidRPr="00511914">
        <w:t xml:space="preserve">portfolio value </w:t>
      </w:r>
      <w:r>
        <w:t>management to identify right optimizations for portfolio growth</w:t>
      </w:r>
      <w:r w:rsidRPr="00511914">
        <w:t xml:space="preserve">. </w:t>
      </w:r>
      <w:r>
        <w:t xml:space="preserve">Our domain experts help uncover </w:t>
      </w:r>
      <w:r w:rsidRPr="00511914">
        <w:t>performance insights by leveraging scenario and sensitive analyse</w:t>
      </w:r>
      <w:r>
        <w:t xml:space="preserve">s, </w:t>
      </w:r>
      <w:r w:rsidRPr="00511914">
        <w:t>data visualization</w:t>
      </w:r>
      <w:r>
        <w:t xml:space="preserve">, while creating a more transparent R&amp;D portfolio and enabling </w:t>
      </w:r>
      <w:r w:rsidRPr="00511914">
        <w:t>cross-functional collaboration</w:t>
      </w:r>
      <w:r>
        <w:t>.</w:t>
      </w:r>
    </w:p>
    <w:p w14:paraId="4E1BB459" w14:textId="56B3ECCC" w:rsidR="00AE22EB" w:rsidRPr="00BD0C2B" w:rsidRDefault="00AE22EB" w:rsidP="00F35074">
      <w:pPr>
        <w:jc w:val="both"/>
        <w:rPr>
          <w:lang w:val="en-US"/>
        </w:rPr>
      </w:pPr>
      <w:r w:rsidRPr="00800C02">
        <w:rPr>
          <w:i/>
          <w:iCs/>
        </w:rPr>
        <w:t>Capital budgeting</w:t>
      </w:r>
      <w:r>
        <w:t xml:space="preserve">: </w:t>
      </w:r>
      <w:r w:rsidR="006B2E76">
        <w:t xml:space="preserve">Drive productive </w:t>
      </w:r>
      <w:r>
        <w:t>intra-organizational investment</w:t>
      </w:r>
      <w:r w:rsidR="006B2E76">
        <w:t>s by having full visibility over the R&amp;D pipeline</w:t>
      </w:r>
      <w:r w:rsidR="00582E2C">
        <w:t>.</w:t>
      </w:r>
    </w:p>
    <w:p w14:paraId="3F193CC0" w14:textId="1BEBE102" w:rsidR="00AE22EB" w:rsidRDefault="00AE22EB" w:rsidP="00F35074">
      <w:pPr>
        <w:jc w:val="both"/>
      </w:pPr>
      <w:r w:rsidRPr="00800C02">
        <w:rPr>
          <w:i/>
          <w:iCs/>
        </w:rPr>
        <w:t>Project selection</w:t>
      </w:r>
      <w:r>
        <w:t>: Maximize portfolio value through the right selection of assets</w:t>
      </w:r>
      <w:r w:rsidR="00AC0CD2">
        <w:t xml:space="preserve"> and </w:t>
      </w:r>
      <w:r>
        <w:t>investments</w:t>
      </w:r>
      <w:r w:rsidR="00800C02">
        <w:t>.</w:t>
      </w:r>
    </w:p>
    <w:p w14:paraId="3C2C44D5" w14:textId="0928F7DA" w:rsidR="00AE22EB" w:rsidRDefault="00AE22EB" w:rsidP="00F35074">
      <w:pPr>
        <w:jc w:val="both"/>
      </w:pPr>
      <w:r w:rsidRPr="00800C02">
        <w:rPr>
          <w:i/>
          <w:iCs/>
        </w:rPr>
        <w:t>Decision analysis</w:t>
      </w:r>
      <w:r>
        <w:t xml:space="preserve">: </w:t>
      </w:r>
      <w:r w:rsidR="00AC0CD2">
        <w:t xml:space="preserve">Identify </w:t>
      </w:r>
      <w:r>
        <w:t>uncertaint</w:t>
      </w:r>
      <w:r w:rsidR="00AC0CD2">
        <w:t>ies</w:t>
      </w:r>
      <w:r>
        <w:t xml:space="preserve">, create </w:t>
      </w:r>
      <w:r w:rsidR="00AC0CD2">
        <w:t>e</w:t>
      </w:r>
      <w:r>
        <w:t>fficient frontier</w:t>
      </w:r>
      <w:r w:rsidR="00AC0CD2">
        <w:t>s</w:t>
      </w:r>
      <w:r>
        <w:t xml:space="preserve"> based on </w:t>
      </w:r>
      <w:r w:rsidR="00AC0CD2">
        <w:t>variables like eNPV</w:t>
      </w:r>
      <w:r>
        <w:t xml:space="preserve">, </w:t>
      </w:r>
      <w:r w:rsidR="00AC0CD2">
        <w:t xml:space="preserve">and </w:t>
      </w:r>
      <w:r w:rsidRPr="004064F4">
        <w:t>Expected Commercial Value (ECV)</w:t>
      </w:r>
      <w:r w:rsidR="00AC0CD2">
        <w:t>.</w:t>
      </w:r>
    </w:p>
    <w:p w14:paraId="7D2D472B" w14:textId="77777777" w:rsidR="00AE22EB" w:rsidRDefault="00AE22EB" w:rsidP="00F35074">
      <w:pPr>
        <w:jc w:val="both"/>
      </w:pPr>
    </w:p>
    <w:p w14:paraId="47C7034A" w14:textId="1973DEBA" w:rsidR="00511914" w:rsidRPr="00511914" w:rsidRDefault="00510114" w:rsidP="00F35074">
      <w:pPr>
        <w:jc w:val="both"/>
        <w:rPr>
          <w:b/>
          <w:bCs/>
        </w:rPr>
      </w:pPr>
      <w:r>
        <w:rPr>
          <w:b/>
          <w:bCs/>
        </w:rPr>
        <w:t>&lt;H2&gt;</w:t>
      </w:r>
      <w:r w:rsidR="00511914" w:rsidRPr="00511914">
        <w:rPr>
          <w:b/>
          <w:bCs/>
        </w:rPr>
        <w:t>Business Research</w:t>
      </w:r>
      <w:r>
        <w:rPr>
          <w:b/>
          <w:bCs/>
        </w:rPr>
        <w:t>&lt;H2&gt;</w:t>
      </w:r>
    </w:p>
    <w:p w14:paraId="7FE584CB" w14:textId="60936472" w:rsidR="00511914" w:rsidRDefault="00945164" w:rsidP="00511914">
      <w:pPr>
        <w:jc w:val="both"/>
      </w:pPr>
      <w:r w:rsidRPr="00945164">
        <w:rPr>
          <w:highlight w:val="yellow"/>
        </w:rPr>
        <w:t>&lt;Content for business research&gt;</w:t>
      </w:r>
    </w:p>
    <w:p w14:paraId="232469FE" w14:textId="45281A81" w:rsidR="00511914" w:rsidRDefault="00B723CB" w:rsidP="00511914">
      <w:pPr>
        <w:jc w:val="both"/>
        <w:rPr>
          <w:b/>
          <w:bCs/>
        </w:rPr>
      </w:pPr>
      <w:r>
        <w:rPr>
          <w:b/>
          <w:bCs/>
        </w:rPr>
        <w:t>&lt;H3&gt;</w:t>
      </w:r>
      <w:r w:rsidR="00511914" w:rsidRPr="00E86877">
        <w:rPr>
          <w:b/>
          <w:bCs/>
        </w:rPr>
        <w:t>Competitive Intelligence</w:t>
      </w:r>
      <w:r w:rsidR="00511914">
        <w:rPr>
          <w:b/>
          <w:bCs/>
        </w:rPr>
        <w:t xml:space="preserve"> </w:t>
      </w:r>
      <w:r>
        <w:rPr>
          <w:b/>
          <w:bCs/>
        </w:rPr>
        <w:t>–</w:t>
      </w:r>
      <w:r w:rsidR="00511914">
        <w:rPr>
          <w:b/>
          <w:bCs/>
        </w:rPr>
        <w:t xml:space="preserve"> Pulse</w:t>
      </w:r>
      <w:r>
        <w:rPr>
          <w:b/>
          <w:bCs/>
        </w:rPr>
        <w:t>&lt;H3&gt;</w:t>
      </w:r>
    </w:p>
    <w:p w14:paraId="6F6E0967" w14:textId="69CD4CFC" w:rsidR="00AC0CD2" w:rsidRPr="00AC0CD2" w:rsidRDefault="00AC0CD2" w:rsidP="00511914">
      <w:pPr>
        <w:jc w:val="both"/>
      </w:pPr>
      <w:r>
        <w:t>&lt;</w:t>
      </w:r>
      <w:r w:rsidRPr="00AC0CD2">
        <w:t>Since we have named our forecasting solution Clairvoyance, we may want to adopt some nomenclature for all the other offerings in the Business Research space.</w:t>
      </w:r>
      <w:r>
        <w:t xml:space="preserve"> In this working document, I have used the nomenclature, Pulse, for our competitive intelligence offering.&gt;</w:t>
      </w:r>
    </w:p>
    <w:p w14:paraId="4702EDB2" w14:textId="77777777" w:rsidR="00511914" w:rsidRDefault="00511914" w:rsidP="00511914">
      <w:pPr>
        <w:jc w:val="both"/>
      </w:pPr>
      <w:r w:rsidRPr="00E86877">
        <w:t>i2e’s competitive intelligence suite is a rapid deployment solution to equip your competitive intelligence team with valuable insights from your recommended databases and industry specific public domains.</w:t>
      </w:r>
    </w:p>
    <w:p w14:paraId="566596E3" w14:textId="0BD4732C" w:rsidR="00511914" w:rsidRPr="00E86877" w:rsidRDefault="00511914" w:rsidP="00511914">
      <w:pPr>
        <w:jc w:val="both"/>
      </w:pPr>
      <w:r w:rsidRPr="00E86877">
        <w:t xml:space="preserve">Our CI solution is a powerful tool that empowers R&amp;D executives with real-time insights into the competitive landscape. </w:t>
      </w:r>
      <w:r>
        <w:t>Access to breakthrough information can help executives like you influence company strategy</w:t>
      </w:r>
      <w:r w:rsidRPr="00E86877">
        <w:t xml:space="preserve">. Our platform leverages advanced data analytics, machine learning, and natural language processing to gather, analyze, and </w:t>
      </w:r>
      <w:r w:rsidR="00CD2E24" w:rsidRPr="00E86877">
        <w:t>distil</w:t>
      </w:r>
      <w:r w:rsidRPr="00E86877">
        <w:t xml:space="preserve"> vast amounts of information from diverse sources, providing a </w:t>
      </w:r>
      <w:r>
        <w:t>real-time</w:t>
      </w:r>
      <w:r w:rsidRPr="00E86877">
        <w:t xml:space="preserve"> and dynamic view of the market.</w:t>
      </w:r>
    </w:p>
    <w:p w14:paraId="125A5869" w14:textId="5CD63A8D" w:rsidR="00511914" w:rsidRPr="00E86877" w:rsidRDefault="00511914" w:rsidP="00511914">
      <w:pPr>
        <w:jc w:val="both"/>
        <w:rPr>
          <w:lang w:eastAsia="en-IN"/>
        </w:rPr>
      </w:pPr>
      <w:r w:rsidRPr="00E86877">
        <w:rPr>
          <w:i/>
          <w:iCs/>
          <w:lang w:eastAsia="en-IN"/>
        </w:rPr>
        <w:t xml:space="preserve">Comprehensive </w:t>
      </w:r>
      <w:r>
        <w:rPr>
          <w:i/>
          <w:iCs/>
          <w:lang w:eastAsia="en-IN"/>
        </w:rPr>
        <w:t>c</w:t>
      </w:r>
      <w:r w:rsidRPr="00E86877">
        <w:rPr>
          <w:i/>
          <w:iCs/>
          <w:lang w:eastAsia="en-IN"/>
        </w:rPr>
        <w:t xml:space="preserve">ompetitor </w:t>
      </w:r>
      <w:r w:rsidR="00AC0CD2">
        <w:rPr>
          <w:i/>
          <w:iCs/>
          <w:lang w:eastAsia="en-IN"/>
        </w:rPr>
        <w:t>a</w:t>
      </w:r>
      <w:r w:rsidRPr="00E86877">
        <w:rPr>
          <w:i/>
          <w:iCs/>
          <w:lang w:eastAsia="en-IN"/>
        </w:rPr>
        <w:t>nalysis</w:t>
      </w:r>
      <w:r w:rsidRPr="00E86877">
        <w:rPr>
          <w:lang w:eastAsia="en-IN"/>
        </w:rPr>
        <w:t>:</w:t>
      </w:r>
      <w:r>
        <w:rPr>
          <w:lang w:eastAsia="en-IN"/>
        </w:rPr>
        <w:t xml:space="preserve"> Through our real-time centric analysis, you can stay informed </w:t>
      </w:r>
      <w:r w:rsidRPr="00E86877">
        <w:rPr>
          <w:lang w:eastAsia="en-IN"/>
        </w:rPr>
        <w:t>about the latest activities, developments, and milestones of key competitors.</w:t>
      </w:r>
      <w:r>
        <w:rPr>
          <w:lang w:eastAsia="en-IN"/>
        </w:rPr>
        <w:t xml:space="preserve"> This will enable you to have a full view of the scientific landscape, right from </w:t>
      </w:r>
      <w:r w:rsidRPr="00E86877">
        <w:rPr>
          <w:lang w:eastAsia="en-IN"/>
        </w:rPr>
        <w:t>identify</w:t>
      </w:r>
      <w:r>
        <w:rPr>
          <w:lang w:eastAsia="en-IN"/>
        </w:rPr>
        <w:t>ing</w:t>
      </w:r>
      <w:r w:rsidRPr="00E86877">
        <w:rPr>
          <w:lang w:eastAsia="en-IN"/>
        </w:rPr>
        <w:t xml:space="preserve"> potential collaborators, partnerships, and </w:t>
      </w:r>
      <w:r>
        <w:rPr>
          <w:lang w:eastAsia="en-IN"/>
        </w:rPr>
        <w:t xml:space="preserve">to staying updated with </w:t>
      </w:r>
      <w:r w:rsidRPr="00E86877">
        <w:rPr>
          <w:lang w:eastAsia="en-IN"/>
        </w:rPr>
        <w:t>emerging trends.</w:t>
      </w:r>
    </w:p>
    <w:p w14:paraId="2EFE74BC" w14:textId="77777777" w:rsidR="00511914" w:rsidRPr="00E86877" w:rsidRDefault="00511914" w:rsidP="00511914">
      <w:pPr>
        <w:jc w:val="both"/>
        <w:rPr>
          <w:lang w:eastAsia="en-IN"/>
        </w:rPr>
      </w:pPr>
      <w:r w:rsidRPr="00E86877">
        <w:rPr>
          <w:i/>
          <w:iCs/>
          <w:lang w:eastAsia="en-IN"/>
        </w:rPr>
        <w:t>Pipeline and Product Insights</w:t>
      </w:r>
      <w:r>
        <w:rPr>
          <w:lang w:eastAsia="en-IN"/>
        </w:rPr>
        <w:t>: Pulse provides a d</w:t>
      </w:r>
      <w:r w:rsidRPr="00E86877">
        <w:rPr>
          <w:lang w:eastAsia="en-IN"/>
        </w:rPr>
        <w:t>etailed</w:t>
      </w:r>
      <w:r>
        <w:rPr>
          <w:lang w:eastAsia="en-IN"/>
        </w:rPr>
        <w:t xml:space="preserve"> p</w:t>
      </w:r>
      <w:r w:rsidRPr="00E86877">
        <w:rPr>
          <w:lang w:eastAsia="en-IN"/>
        </w:rPr>
        <w:t xml:space="preserve">ipeline </w:t>
      </w:r>
      <w:r>
        <w:rPr>
          <w:lang w:eastAsia="en-IN"/>
        </w:rPr>
        <w:t>a</w:t>
      </w:r>
      <w:r w:rsidRPr="00E86877">
        <w:rPr>
          <w:lang w:eastAsia="en-IN"/>
        </w:rPr>
        <w:t>nalysis</w:t>
      </w:r>
      <w:r>
        <w:rPr>
          <w:lang w:eastAsia="en-IN"/>
        </w:rPr>
        <w:t xml:space="preserve"> helping you stay ahead of</w:t>
      </w:r>
      <w:r w:rsidRPr="00E86877">
        <w:rPr>
          <w:lang w:eastAsia="en-IN"/>
        </w:rPr>
        <w:t xml:space="preserve"> potential threats and opportunities.</w:t>
      </w:r>
      <w:r>
        <w:rPr>
          <w:lang w:eastAsia="en-IN"/>
        </w:rPr>
        <w:t xml:space="preserve"> You can use Pulse to a</w:t>
      </w:r>
      <w:r w:rsidRPr="00E86877">
        <w:rPr>
          <w:lang w:eastAsia="en-IN"/>
        </w:rPr>
        <w:t>ssess the success and market performance of competitor products, enabling strategic decision-making</w:t>
      </w:r>
      <w:r>
        <w:rPr>
          <w:lang w:eastAsia="en-IN"/>
        </w:rPr>
        <w:t>, ahead of others.</w:t>
      </w:r>
    </w:p>
    <w:p w14:paraId="72D119CC" w14:textId="77777777" w:rsidR="00511914" w:rsidRPr="00E86877" w:rsidRDefault="00511914" w:rsidP="00511914">
      <w:pPr>
        <w:jc w:val="both"/>
        <w:rPr>
          <w:lang w:eastAsia="en-IN"/>
        </w:rPr>
      </w:pPr>
      <w:r w:rsidRPr="00E86877">
        <w:rPr>
          <w:i/>
          <w:iCs/>
          <w:lang w:eastAsia="en-IN"/>
        </w:rPr>
        <w:t>Regulatory and Market Access Intelligence</w:t>
      </w:r>
      <w:r w:rsidRPr="00E86877">
        <w:rPr>
          <w:lang w:eastAsia="en-IN"/>
        </w:rPr>
        <w:t>:</w:t>
      </w:r>
      <w:r>
        <w:rPr>
          <w:lang w:eastAsia="en-IN"/>
        </w:rPr>
        <w:t xml:space="preserve"> Stay current with our </w:t>
      </w:r>
      <w:r w:rsidRPr="00E86877">
        <w:rPr>
          <w:lang w:eastAsia="en-IN"/>
        </w:rPr>
        <w:t>Regulatory Landscape Monitoring</w:t>
      </w:r>
      <w:r>
        <w:rPr>
          <w:lang w:eastAsia="en-IN"/>
        </w:rPr>
        <w:t xml:space="preserve"> feature, apprising you of </w:t>
      </w:r>
      <w:r w:rsidRPr="00E86877">
        <w:rPr>
          <w:lang w:eastAsia="en-IN"/>
        </w:rPr>
        <w:t>regulatory changes and approvals affecting competitors.</w:t>
      </w:r>
    </w:p>
    <w:p w14:paraId="5AD7AE94" w14:textId="77777777" w:rsidR="00511914" w:rsidRPr="00E86877" w:rsidRDefault="00511914" w:rsidP="00511914">
      <w:pPr>
        <w:jc w:val="both"/>
        <w:rPr>
          <w:lang w:eastAsia="en-IN"/>
        </w:rPr>
      </w:pPr>
      <w:r w:rsidRPr="00E86877">
        <w:rPr>
          <w:i/>
          <w:iCs/>
          <w:lang w:eastAsia="en-IN"/>
        </w:rPr>
        <w:t>Market Access Trends</w:t>
      </w:r>
      <w:r w:rsidRPr="00E86877">
        <w:rPr>
          <w:lang w:eastAsia="en-IN"/>
        </w:rPr>
        <w:t>: Understand the evolving market access landscape to inform pricing and reimbursement strategies.</w:t>
      </w:r>
    </w:p>
    <w:p w14:paraId="1F514D31" w14:textId="77777777" w:rsidR="00511914" w:rsidRPr="00E86877" w:rsidRDefault="00511914" w:rsidP="00511914">
      <w:pPr>
        <w:jc w:val="both"/>
        <w:rPr>
          <w:lang w:eastAsia="en-IN"/>
        </w:rPr>
      </w:pPr>
      <w:r w:rsidRPr="00E86877">
        <w:rPr>
          <w:i/>
          <w:iCs/>
          <w:lang w:eastAsia="en-IN"/>
        </w:rPr>
        <w:t>Collaboration and Integration</w:t>
      </w:r>
      <w:r>
        <w:rPr>
          <w:lang w:eastAsia="en-IN"/>
        </w:rPr>
        <w:t xml:space="preserve">: </w:t>
      </w:r>
      <w:r w:rsidRPr="00E86877">
        <w:rPr>
          <w:lang w:eastAsia="en-IN"/>
        </w:rPr>
        <w:t xml:space="preserve">Integrate CI insights </w:t>
      </w:r>
      <w:r>
        <w:rPr>
          <w:lang w:eastAsia="en-IN"/>
        </w:rPr>
        <w:t xml:space="preserve">from Pulse </w:t>
      </w:r>
      <w:r w:rsidRPr="00E86877">
        <w:rPr>
          <w:lang w:eastAsia="en-IN"/>
        </w:rPr>
        <w:t>with existing R&amp;D workflows for streamlined decision-making.</w:t>
      </w:r>
    </w:p>
    <w:p w14:paraId="0D0B1A16" w14:textId="77777777" w:rsidR="00511914" w:rsidRPr="00E86877" w:rsidRDefault="00511914" w:rsidP="00511914">
      <w:pPr>
        <w:jc w:val="both"/>
        <w:rPr>
          <w:lang w:eastAsia="en-IN"/>
        </w:rPr>
      </w:pPr>
      <w:r w:rsidRPr="00E86877">
        <w:rPr>
          <w:i/>
          <w:iCs/>
          <w:lang w:eastAsia="en-IN"/>
        </w:rPr>
        <w:t>Collaboration Tools</w:t>
      </w:r>
      <w:r w:rsidRPr="00E86877">
        <w:rPr>
          <w:lang w:eastAsia="en-IN"/>
        </w:rPr>
        <w:t>: Facilitate collaboration among cross-functional teams by providing a centralized platform for sharing intelligence.</w:t>
      </w:r>
    </w:p>
    <w:p w14:paraId="3DCFC1FF" w14:textId="6B5E951C" w:rsidR="00800C02" w:rsidRDefault="00800C02" w:rsidP="00F35074">
      <w:pPr>
        <w:jc w:val="both"/>
      </w:pPr>
      <w:r>
        <w:t>Early warning system</w:t>
      </w:r>
    </w:p>
    <w:p w14:paraId="4B46D8DC" w14:textId="2B3C3164" w:rsidR="00C9519B" w:rsidRPr="00511914" w:rsidRDefault="00C9519B" w:rsidP="00F35074">
      <w:pPr>
        <w:jc w:val="both"/>
      </w:pPr>
      <w:r>
        <w:t>&lt;To add post discussion&gt;</w:t>
      </w:r>
    </w:p>
    <w:p w14:paraId="7B160AF0" w14:textId="52B5DF17" w:rsidR="00C606C9" w:rsidRDefault="00C606C9" w:rsidP="00F35074">
      <w:pPr>
        <w:jc w:val="both"/>
        <w:rPr>
          <w:b/>
          <w:bCs/>
        </w:rPr>
      </w:pPr>
      <w:r>
        <w:rPr>
          <w:b/>
          <w:bCs/>
        </w:rPr>
        <w:t>Market Assessment</w:t>
      </w:r>
    </w:p>
    <w:p w14:paraId="4A1DB202" w14:textId="0C2A8160" w:rsidR="00473E6B" w:rsidRPr="00162C96" w:rsidRDefault="00797227" w:rsidP="00162C96">
      <w:pPr>
        <w:jc w:val="both"/>
      </w:pPr>
      <w:r w:rsidRPr="00B85508">
        <w:t xml:space="preserve">Whether it is </w:t>
      </w:r>
      <w:r w:rsidR="004667FC" w:rsidRPr="00B85508">
        <w:t xml:space="preserve">a </w:t>
      </w:r>
      <w:r w:rsidRPr="00B85508">
        <w:t xml:space="preserve">small biopharma organization </w:t>
      </w:r>
      <w:r w:rsidR="00686519" w:rsidRPr="00B85508">
        <w:t>evaluating</w:t>
      </w:r>
      <w:r w:rsidRPr="00B85508">
        <w:t xml:space="preserve"> their drug commercialization </w:t>
      </w:r>
      <w:r w:rsidR="00AD4B97" w:rsidRPr="00B85508">
        <w:t xml:space="preserve">strategy </w:t>
      </w:r>
      <w:r w:rsidRPr="00B85508">
        <w:t xml:space="preserve">for their first therapy, or a Big Pharma organization optimizing their </w:t>
      </w:r>
      <w:r w:rsidR="009975EE" w:rsidRPr="00B85508">
        <w:t>market access for emerging markets</w:t>
      </w:r>
      <w:r w:rsidRPr="00B85508">
        <w:t xml:space="preserve">, </w:t>
      </w:r>
      <w:r w:rsidR="0041614A" w:rsidRPr="00B85508">
        <w:t>i</w:t>
      </w:r>
      <w:r w:rsidR="00A03A26" w:rsidRPr="00B85508">
        <w:t xml:space="preserve">2e’s market access solutions </w:t>
      </w:r>
      <w:r w:rsidRPr="00B85508">
        <w:t xml:space="preserve">have helped drive </w:t>
      </w:r>
      <w:r w:rsidR="0075342A" w:rsidRPr="00B85508">
        <w:t>effective market access deployment.</w:t>
      </w:r>
      <w:r w:rsidR="00473E6B" w:rsidRPr="00162C96">
        <w:t> </w:t>
      </w:r>
      <w:r w:rsidR="0075342A">
        <w:t xml:space="preserve">We help </w:t>
      </w:r>
      <w:r w:rsidR="00244421">
        <w:t xml:space="preserve">you manage and communicate value in both conventional and evolving models of care, prioritizing stakeholder engagement to drive </w:t>
      </w:r>
      <w:r w:rsidR="00ED6C8F" w:rsidRPr="00162C96">
        <w:t>brand success.</w:t>
      </w:r>
    </w:p>
    <w:p w14:paraId="50E6457E" w14:textId="4826B183" w:rsidR="00473E6B" w:rsidRPr="00162C96" w:rsidRDefault="00473E6B" w:rsidP="00162C96">
      <w:pPr>
        <w:jc w:val="both"/>
      </w:pPr>
      <w:r w:rsidRPr="00B85508">
        <w:t xml:space="preserve">The right market access strategy </w:t>
      </w:r>
      <w:r w:rsidR="004667FC" w:rsidRPr="00B85508">
        <w:t>empowers</w:t>
      </w:r>
      <w:r w:rsidR="00152BEF" w:rsidRPr="00B85508">
        <w:t xml:space="preserve"> </w:t>
      </w:r>
      <w:r w:rsidRPr="00B85508">
        <w:t xml:space="preserve">successful commercialization. With variables such as complex benefits and utilization management practices, </w:t>
      </w:r>
      <w:r w:rsidR="00152BEF" w:rsidRPr="00B85508">
        <w:t>payer-side consolidation</w:t>
      </w:r>
      <w:r w:rsidR="008848F5">
        <w:t xml:space="preserve">, managing </w:t>
      </w:r>
      <w:r w:rsidR="00ED7FE0" w:rsidRPr="00B85508">
        <w:t xml:space="preserve">multiple stakeholders such as payers, clinicians, technical experts, </w:t>
      </w:r>
      <w:r w:rsidR="00D31360">
        <w:t xml:space="preserve">and </w:t>
      </w:r>
      <w:r w:rsidR="00ED7FE0" w:rsidRPr="00B85508">
        <w:t>HTAs</w:t>
      </w:r>
      <w:r w:rsidR="00D31360">
        <w:t>,</w:t>
      </w:r>
      <w:r w:rsidR="00ED7FE0" w:rsidRPr="00B85508">
        <w:t xml:space="preserve"> </w:t>
      </w:r>
      <w:r w:rsidR="00B85508" w:rsidRPr="00B85508">
        <w:t>market access has been a challenging area</w:t>
      </w:r>
      <w:r w:rsidRPr="00B85508">
        <w:t xml:space="preserve">. </w:t>
      </w:r>
      <w:r w:rsidR="00B85508" w:rsidRPr="00B85508">
        <w:t xml:space="preserve">We help you identify challenges, anticipate risks </w:t>
      </w:r>
      <w:r w:rsidRPr="00B85508">
        <w:t>early in the development process and throughout the product life cycle.</w:t>
      </w:r>
    </w:p>
    <w:p w14:paraId="1B48C1C8" w14:textId="42B62169" w:rsidR="00473E6B" w:rsidRPr="00162C96" w:rsidRDefault="009C5108" w:rsidP="00162C96">
      <w:pPr>
        <w:jc w:val="both"/>
      </w:pPr>
      <w:r w:rsidRPr="00162C96">
        <w:t xml:space="preserve">An effective market access strategy helps a drug deliver on its true promise and shape the future of the therapy area in the crucial years post launch. Good market access governance ensures trust building amongst </w:t>
      </w:r>
      <w:r w:rsidR="00473E6B" w:rsidRPr="00162C96">
        <w:t>key stakeholders</w:t>
      </w:r>
      <w:r w:rsidRPr="00162C96">
        <w:t xml:space="preserve"> right from providers to patients. </w:t>
      </w:r>
      <w:r w:rsidR="00B85508">
        <w:t>Here is how we help you drive multi party trust, strategy engagement and therapy value.</w:t>
      </w:r>
    </w:p>
    <w:p w14:paraId="7C37E530" w14:textId="0E7928B6" w:rsidR="009C5108" w:rsidRPr="00162C96" w:rsidRDefault="009C5108" w:rsidP="00162C96">
      <w:pPr>
        <w:jc w:val="both"/>
      </w:pPr>
      <w:r w:rsidRPr="000C03E2">
        <w:rPr>
          <w:i/>
          <w:iCs/>
        </w:rPr>
        <w:t>Regulatory</w:t>
      </w:r>
      <w:r w:rsidRPr="00162C96">
        <w:t xml:space="preserve">: </w:t>
      </w:r>
      <w:r w:rsidR="00ED6C8F" w:rsidRPr="00162C96">
        <w:t xml:space="preserve">Our solutions help </w:t>
      </w:r>
      <w:r w:rsidR="000C03E2">
        <w:t>market access</w:t>
      </w:r>
      <w:r w:rsidR="00ED6C8F" w:rsidRPr="00162C96">
        <w:t xml:space="preserve"> decision makers in driving timely </w:t>
      </w:r>
      <w:r w:rsidRPr="00162C96">
        <w:t xml:space="preserve">marketing authorizations </w:t>
      </w:r>
      <w:r w:rsidR="000C03E2">
        <w:t>by utilizing</w:t>
      </w:r>
      <w:r w:rsidRPr="00162C96">
        <w:t xml:space="preserve"> local medical share</w:t>
      </w:r>
      <w:r w:rsidR="000C03E2">
        <w:t>-</w:t>
      </w:r>
      <w:r w:rsidRPr="00162C96">
        <w:t>of</w:t>
      </w:r>
      <w:r w:rsidR="000C03E2">
        <w:t>-</w:t>
      </w:r>
      <w:r w:rsidRPr="00162C96">
        <w:t>voice</w:t>
      </w:r>
      <w:r w:rsidR="000C03E2">
        <w:t>. Incorporate clinical, economic</w:t>
      </w:r>
      <w:r w:rsidR="006C434C">
        <w:t>,</w:t>
      </w:r>
      <w:r w:rsidR="000C03E2">
        <w:t xml:space="preserve"> and </w:t>
      </w:r>
      <w:r w:rsidR="00ED6C8F" w:rsidRPr="00162C96">
        <w:t xml:space="preserve">analytical evidence </w:t>
      </w:r>
      <w:r w:rsidR="000C03E2">
        <w:t>for demonstrating therapeutic value</w:t>
      </w:r>
      <w:r w:rsidR="00ED6C8F" w:rsidRPr="00162C96">
        <w:t xml:space="preserve"> in a real-world setting.</w:t>
      </w:r>
    </w:p>
    <w:p w14:paraId="0770079B" w14:textId="04FFDE5A" w:rsidR="00ED6C8F" w:rsidRPr="00162C96" w:rsidRDefault="00ED6C8F" w:rsidP="00162C96">
      <w:pPr>
        <w:jc w:val="both"/>
      </w:pPr>
      <w:r w:rsidRPr="000C03E2">
        <w:rPr>
          <w:i/>
          <w:iCs/>
        </w:rPr>
        <w:t>P</w:t>
      </w:r>
      <w:r w:rsidR="009C5108" w:rsidRPr="000C03E2">
        <w:rPr>
          <w:i/>
          <w:iCs/>
        </w:rPr>
        <w:t>ricing and reimbursement</w:t>
      </w:r>
      <w:r w:rsidR="009C5108" w:rsidRPr="00162C96">
        <w:t xml:space="preserve">: </w:t>
      </w:r>
      <w:r w:rsidR="006C434C">
        <w:t>We help launch teams r</w:t>
      </w:r>
      <w:r w:rsidRPr="00162C96">
        <w:t>educe reimbursement rejections through appropriate pricing and reimbursement simulation modelling</w:t>
      </w:r>
      <w:r w:rsidR="000C03E2">
        <w:t xml:space="preserve"> with our custom reimbursement solutions. </w:t>
      </w:r>
      <w:r w:rsidR="000C206F">
        <w:t>We enable you to s</w:t>
      </w:r>
      <w:r w:rsidR="000C03E2">
        <w:t xml:space="preserve">ecure localized pricing information and inclusion in </w:t>
      </w:r>
      <w:r w:rsidR="009C5108" w:rsidRPr="00162C96">
        <w:t xml:space="preserve">reimbursement lists by </w:t>
      </w:r>
      <w:r w:rsidR="000C03E2">
        <w:t xml:space="preserve">incorporating </w:t>
      </w:r>
      <w:r w:rsidR="009C5108" w:rsidRPr="00162C96">
        <w:t xml:space="preserve">local evidence </w:t>
      </w:r>
      <w:r w:rsidRPr="00162C96">
        <w:t>considerations related to coverage and reimbursement</w:t>
      </w:r>
      <w:r w:rsidR="00873B49">
        <w:t>, enabling you to l</w:t>
      </w:r>
      <w:r w:rsidR="000C03E2">
        <w:t>everage insights to drive s</w:t>
      </w:r>
      <w:r w:rsidR="000C03E2" w:rsidRPr="00162C96">
        <w:t xml:space="preserve">uccessful interventions and negotiations. </w:t>
      </w:r>
    </w:p>
    <w:p w14:paraId="06683B5C" w14:textId="468D389B" w:rsidR="009C5108" w:rsidRPr="00162C96" w:rsidRDefault="00ED6C8F" w:rsidP="00162C96">
      <w:pPr>
        <w:jc w:val="both"/>
      </w:pPr>
      <w:r w:rsidRPr="000C03E2">
        <w:rPr>
          <w:i/>
          <w:iCs/>
        </w:rPr>
        <w:t>I</w:t>
      </w:r>
      <w:r w:rsidR="009C5108" w:rsidRPr="000C03E2">
        <w:rPr>
          <w:i/>
          <w:iCs/>
        </w:rPr>
        <w:t>nfrastructure</w:t>
      </w:r>
      <w:r w:rsidR="009C5108" w:rsidRPr="00162C96">
        <w:t xml:space="preserve">: </w:t>
      </w:r>
      <w:r w:rsidR="0060658A">
        <w:t xml:space="preserve">We help you identify </w:t>
      </w:r>
      <w:r w:rsidR="009C5108" w:rsidRPr="00162C96">
        <w:t xml:space="preserve">bottlenecks in healthcare infrastructure </w:t>
      </w:r>
      <w:r w:rsidR="0060658A">
        <w:t xml:space="preserve">and overcome challenges </w:t>
      </w:r>
      <w:r w:rsidR="009C5108" w:rsidRPr="00162C96">
        <w:t xml:space="preserve">through initiatives such as </w:t>
      </w:r>
      <w:r w:rsidR="0060658A">
        <w:t>continuing medical education interventions for underrepresented specialities in your target markets</w:t>
      </w:r>
      <w:r w:rsidR="009C5108" w:rsidRPr="00162C96">
        <w:t>.</w:t>
      </w:r>
    </w:p>
    <w:p w14:paraId="2A09267E" w14:textId="2CC79D29" w:rsidR="00A20BDA" w:rsidRPr="009C5108" w:rsidRDefault="00A20BDA" w:rsidP="00F35074">
      <w:pPr>
        <w:jc w:val="both"/>
        <w:rPr>
          <w:b/>
          <w:bCs/>
        </w:rPr>
      </w:pPr>
      <w:r w:rsidRPr="009C5108">
        <w:rPr>
          <w:b/>
          <w:bCs/>
        </w:rPr>
        <w:t>BD/Licensing</w:t>
      </w:r>
    </w:p>
    <w:p w14:paraId="69309977" w14:textId="4F4C4A57" w:rsidR="00A20BDA" w:rsidRPr="002C7D50" w:rsidRDefault="00B31F85" w:rsidP="00F35074">
      <w:pPr>
        <w:jc w:val="both"/>
        <w:rPr>
          <w:lang w:val="en-US"/>
        </w:rPr>
      </w:pPr>
      <w:r w:rsidRPr="19543A3D">
        <w:rPr>
          <w:lang w:val="en-US"/>
        </w:rPr>
        <w:t>i2e’s BD &amp; Licensing (BD&amp;L) offerings help BD&amp;L decision makers</w:t>
      </w:r>
      <w:r w:rsidR="002C7D50" w:rsidRPr="19543A3D">
        <w:rPr>
          <w:lang w:val="en-US"/>
        </w:rPr>
        <w:t xml:space="preserve"> take the right decisions right from evaluating licensing opportunities to identifying potential acquisition targets, conducting business and product due diligence.</w:t>
      </w:r>
    </w:p>
    <w:p w14:paraId="25976C50" w14:textId="77C480BC" w:rsidR="00B31F85" w:rsidRDefault="00B31F85" w:rsidP="00F35074">
      <w:pPr>
        <w:jc w:val="both"/>
        <w:rPr>
          <w:lang w:val="en-US"/>
        </w:rPr>
      </w:pPr>
      <w:r w:rsidRPr="002C7D50">
        <w:rPr>
          <w:i/>
          <w:iCs/>
          <w:lang w:val="en-US"/>
        </w:rPr>
        <w:t>Landscape assessment</w:t>
      </w:r>
      <w:r w:rsidRPr="002C7D50">
        <w:rPr>
          <w:lang w:val="en-US"/>
        </w:rPr>
        <w:t xml:space="preserve">: </w:t>
      </w:r>
      <w:r w:rsidR="002C7D50">
        <w:rPr>
          <w:lang w:val="en-US"/>
        </w:rPr>
        <w:t xml:space="preserve">We help you assess the right growth strategy from inorganic and organic candidates, with analysis such as </w:t>
      </w:r>
      <w:r w:rsidRPr="00C547FB">
        <w:rPr>
          <w:lang w:val="en-US"/>
        </w:rPr>
        <w:t>Target Product Profile (TPP)</w:t>
      </w:r>
      <w:r w:rsidR="00231E07">
        <w:rPr>
          <w:lang w:val="en-US"/>
        </w:rPr>
        <w:t>.</w:t>
      </w:r>
      <w:r w:rsidR="0054431F">
        <w:rPr>
          <w:lang w:val="en-US"/>
        </w:rPr>
        <w:t xml:space="preserve"> Evolving models of care span current interventions such as drug device combinations, digital health models, all of which need to be considered in your landscape assessment.</w:t>
      </w:r>
    </w:p>
    <w:p w14:paraId="269D560E" w14:textId="77777777" w:rsidR="00231E07" w:rsidRDefault="002C7D50" w:rsidP="00231E07">
      <w:pPr>
        <w:jc w:val="both"/>
        <w:rPr>
          <w:lang w:val="en-US"/>
        </w:rPr>
      </w:pPr>
      <w:r w:rsidRPr="002C7D50">
        <w:rPr>
          <w:i/>
          <w:iCs/>
          <w:lang w:val="en-US"/>
        </w:rPr>
        <w:t>Partnership Engagement Structure</w:t>
      </w:r>
      <w:r>
        <w:rPr>
          <w:lang w:val="en-US"/>
        </w:rPr>
        <w:t>:</w:t>
      </w:r>
      <w:r w:rsidR="00231E07">
        <w:rPr>
          <w:lang w:val="en-US"/>
        </w:rPr>
        <w:t xml:space="preserve"> Drive productive business partnerships with our </w:t>
      </w:r>
      <w:r w:rsidR="00231E07" w:rsidRPr="00C547FB">
        <w:rPr>
          <w:lang w:val="en-US"/>
        </w:rPr>
        <w:t>Partner</w:t>
      </w:r>
      <w:r w:rsidR="00231E07">
        <w:rPr>
          <w:lang w:val="en-US"/>
        </w:rPr>
        <w:t xml:space="preserve"> Identification and Outreach solutions.</w:t>
      </w:r>
    </w:p>
    <w:p w14:paraId="6E8973C0" w14:textId="77777777" w:rsidR="00B31F85" w:rsidRPr="002C7D50" w:rsidRDefault="00B31F85" w:rsidP="00F35074">
      <w:pPr>
        <w:jc w:val="both"/>
        <w:rPr>
          <w:lang w:val="en-US"/>
        </w:rPr>
      </w:pPr>
    </w:p>
    <w:p w14:paraId="00CFE5E9" w14:textId="0A3DACAC" w:rsidR="004707BE" w:rsidRDefault="005C5DAF" w:rsidP="00F35074">
      <w:pPr>
        <w:jc w:val="both"/>
        <w:rPr>
          <w:b/>
          <w:bCs/>
        </w:rPr>
      </w:pPr>
      <w:r>
        <w:rPr>
          <w:b/>
          <w:bCs/>
        </w:rPr>
        <w:t xml:space="preserve">Forecasting - </w:t>
      </w:r>
      <w:r w:rsidR="004707BE">
        <w:rPr>
          <w:b/>
          <w:bCs/>
        </w:rPr>
        <w:t>Clairvoyance</w:t>
      </w:r>
    </w:p>
    <w:p w14:paraId="4B4B9E15" w14:textId="4DAC168B" w:rsidR="004707BE" w:rsidRPr="004707BE" w:rsidRDefault="004707BE" w:rsidP="00F35074">
      <w:pPr>
        <w:jc w:val="both"/>
      </w:pPr>
      <w:r>
        <w:t xml:space="preserve">Pharma </w:t>
      </w:r>
      <w:r w:rsidRPr="004707BE">
        <w:t xml:space="preserve">R&amp;D executives require real-time visibility into </w:t>
      </w:r>
      <w:r>
        <w:t>pipeline health. Our proprietary forecasting solution, Clairvoyance, o</w:t>
      </w:r>
      <w:r w:rsidRPr="004707BE">
        <w:t>ffer</w:t>
      </w:r>
      <w:r>
        <w:t>s</w:t>
      </w:r>
      <w:r w:rsidRPr="004707BE">
        <w:t xml:space="preserve"> an intuitive and comprehensive view of </w:t>
      </w:r>
      <w:r>
        <w:t>the full pipeline</w:t>
      </w:r>
      <w:r w:rsidRPr="004707BE">
        <w:t xml:space="preserve">, enabling </w:t>
      </w:r>
      <w:r>
        <w:t>R&amp;D decision makers</w:t>
      </w:r>
      <w:r w:rsidRPr="004707BE">
        <w:t xml:space="preserve"> to monitor project progress, resource allocation, and financial performance in a single, user-friendly interface.</w:t>
      </w:r>
    </w:p>
    <w:p w14:paraId="6F6971E3" w14:textId="0FB714EC" w:rsidR="004707BE" w:rsidRPr="004707BE" w:rsidRDefault="004707BE" w:rsidP="00F35074">
      <w:pPr>
        <w:jc w:val="both"/>
      </w:pPr>
      <w:r w:rsidRPr="004707BE">
        <w:t xml:space="preserve">The dashboards are customizable, allowing executives to tailor views based on their specific needs. From pipeline analysis and portfolio performance to resource utilization and risk assessment, our solution provides a 360-degree perspective on R&amp;D operations. This not only streamlines decision-making but also fosters collaboration and transparency across </w:t>
      </w:r>
      <w:r>
        <w:t>globally distributed</w:t>
      </w:r>
      <w:r w:rsidRPr="004707BE">
        <w:t xml:space="preserve"> R&amp;D teams.</w:t>
      </w:r>
    </w:p>
    <w:p w14:paraId="102AF8E9" w14:textId="7DAA6923" w:rsidR="004707BE" w:rsidRPr="004707BE" w:rsidRDefault="004707BE" w:rsidP="00F35074">
      <w:pPr>
        <w:jc w:val="both"/>
      </w:pPr>
      <w:r w:rsidRPr="004707BE">
        <w:t>Our forecasting solution is built on the foundation of advanced predictive analytics, providing R&amp;D executives with the tools needed to anticipate trends, mitigate risks, and optimize decision-making. By leveraging machine learning algorithms and predictive modeling, our platform analyzes vast datasets, extracting valuable patterns and insights that empower executives to make informed choices at every stage of drug development.</w:t>
      </w:r>
    </w:p>
    <w:p w14:paraId="25970E96" w14:textId="356782CA" w:rsidR="004707BE" w:rsidRDefault="004707BE" w:rsidP="00F35074">
      <w:pPr>
        <w:jc w:val="both"/>
      </w:pPr>
      <w:r w:rsidRPr="004707BE">
        <w:t>The forecasting module goes beyond traditional methods, incorporating real-world evidence, clinical trial data, and market trends. This holistic approach not only enhances the accuracy of predictions but also enables proactive decision-making, allowing R&amp;D teams to pivot strategies swiftly based on evolving market dynamics.</w:t>
      </w:r>
    </w:p>
    <w:p w14:paraId="31B5F8A0" w14:textId="3190D6E0" w:rsidR="0054431F" w:rsidRDefault="0054431F" w:rsidP="00F35074">
      <w:pPr>
        <w:jc w:val="both"/>
      </w:pPr>
      <w:r w:rsidRPr="0054431F">
        <w:rPr>
          <w:i/>
          <w:iCs/>
        </w:rPr>
        <w:t>Enhanced decision making</w:t>
      </w:r>
      <w:r>
        <w:t xml:space="preserve">: </w:t>
      </w:r>
      <w:r w:rsidRPr="0054431F">
        <w:t>Empower the team with consolidated data to monitor and evaluate project performance and development scenarios.</w:t>
      </w:r>
      <w:r>
        <w:t xml:space="preserve"> </w:t>
      </w:r>
      <w:r w:rsidRPr="0054431F">
        <w:t>Automated data aggregation &amp; report generation saves valuable time to focus on strategic initiatives.</w:t>
      </w:r>
    </w:p>
    <w:p w14:paraId="1299DD8F" w14:textId="1C380B63" w:rsidR="0054431F" w:rsidRDefault="0054431F" w:rsidP="00F35074">
      <w:pPr>
        <w:jc w:val="both"/>
      </w:pPr>
      <w:r w:rsidRPr="0054431F">
        <w:rPr>
          <w:i/>
          <w:iCs/>
        </w:rPr>
        <w:t>Advanced risk management</w:t>
      </w:r>
      <w:r>
        <w:t xml:space="preserve">: </w:t>
      </w:r>
      <w:r w:rsidRPr="0054431F">
        <w:t>Receive timely alerts and access project-level details to proactively mitigate risks and their impact on the portfolio. Foster a culture of accountability and transparency where all portfolio stakeholders have access to real-time project data to better manage their contributions.</w:t>
      </w:r>
    </w:p>
    <w:p w14:paraId="7FA86B91" w14:textId="5C077D11" w:rsidR="0054431F" w:rsidRDefault="0054431F" w:rsidP="00F35074">
      <w:pPr>
        <w:jc w:val="both"/>
      </w:pPr>
      <w:r w:rsidRPr="0054431F">
        <w:rPr>
          <w:i/>
          <w:iCs/>
        </w:rPr>
        <w:t>Scalability and future readiness</w:t>
      </w:r>
      <w:r>
        <w:t xml:space="preserve">: </w:t>
      </w:r>
      <w:r w:rsidRPr="0054431F">
        <w:t>Easily scale and evolve dashboard features and prediction capabilities as your organization increases alignment and expands the use of decision dashboards.</w:t>
      </w:r>
    </w:p>
    <w:p w14:paraId="43955BC8" w14:textId="16B79DF6" w:rsidR="00E86877" w:rsidRDefault="00E86877" w:rsidP="00F35074">
      <w:pPr>
        <w:jc w:val="both"/>
        <w:rPr>
          <w:b/>
          <w:bCs/>
        </w:rPr>
      </w:pPr>
      <w:r w:rsidRPr="00E86877">
        <w:rPr>
          <w:b/>
          <w:bCs/>
        </w:rPr>
        <w:t>Resource Management</w:t>
      </w:r>
      <w:r w:rsidR="008B53C3">
        <w:rPr>
          <w:b/>
          <w:bCs/>
        </w:rPr>
        <w:t xml:space="preserve"> </w:t>
      </w:r>
      <w:r w:rsidR="00116FC1">
        <w:rPr>
          <w:b/>
          <w:bCs/>
        </w:rPr>
        <w:t>–</w:t>
      </w:r>
      <w:r w:rsidR="008B53C3">
        <w:rPr>
          <w:b/>
          <w:bCs/>
        </w:rPr>
        <w:t xml:space="preserve"> Optima</w:t>
      </w:r>
    </w:p>
    <w:p w14:paraId="58F6F47B" w14:textId="2ED78B78" w:rsidR="00A01457" w:rsidRDefault="00A01457" w:rsidP="00A01457">
      <w:r>
        <w:t>Pharma decision makers have to c</w:t>
      </w:r>
      <w:r w:rsidRPr="00A01457">
        <w:t>ontinually balance innovation, efficiency, and resource utilization</w:t>
      </w:r>
      <w:r>
        <w:t xml:space="preserve"> while delivering growth.</w:t>
      </w:r>
    </w:p>
    <w:p w14:paraId="275111EB" w14:textId="373D7B60" w:rsidR="00A01457" w:rsidRPr="00A01457" w:rsidRDefault="00A01457" w:rsidP="00A01457">
      <w:r>
        <w:t xml:space="preserve">i2e Optima helps you to do just that and much more. Optima is a project governance tool that </w:t>
      </w:r>
      <w:r w:rsidR="00512699">
        <w:t>provides</w:t>
      </w:r>
      <w:r>
        <w:t xml:space="preserve"> </w:t>
      </w:r>
      <w:r w:rsidRPr="00A01457">
        <w:t>task-level resource </w:t>
      </w:r>
      <w:hyperlink r:id="rId14" w:tooltip="tracking" w:history="1">
        <w:r w:rsidRPr="00A01457">
          <w:t>tracking</w:t>
        </w:r>
      </w:hyperlink>
      <w:r w:rsidRPr="00A01457">
        <w:t xml:space="preserve"> , </w:t>
      </w:r>
      <w:r w:rsidR="00512699">
        <w:t xml:space="preserve">monitor performance with </w:t>
      </w:r>
      <w:r w:rsidRPr="00A01457">
        <w:t xml:space="preserve">workflow tools, </w:t>
      </w:r>
      <w:r w:rsidR="00512699">
        <w:t xml:space="preserve">drive compliance and resource optimization </w:t>
      </w:r>
      <w:r w:rsidRPr="00A01457">
        <w:t>for timely delivery of project activities.</w:t>
      </w:r>
    </w:p>
    <w:p w14:paraId="03423071" w14:textId="4CB2E246" w:rsidR="00116FC1" w:rsidRPr="00A01457" w:rsidRDefault="00116FC1" w:rsidP="00A01457">
      <w:r w:rsidRPr="00A01457">
        <w:rPr>
          <w:lang w:eastAsia="en-IN"/>
        </w:rPr>
        <w:t>It features custom built-in dashboards, integration with multiple databases, and PPM technologies like Planisware.</w:t>
      </w:r>
    </w:p>
    <w:p w14:paraId="50369C55" w14:textId="650EDB91" w:rsidR="00512699" w:rsidRDefault="00512699" w:rsidP="00A01457">
      <w:pPr>
        <w:rPr>
          <w:lang w:eastAsia="en-IN"/>
        </w:rPr>
      </w:pPr>
      <w:r>
        <w:rPr>
          <w:lang w:eastAsia="en-IN"/>
        </w:rPr>
        <w:t>How Optima can help you:</w:t>
      </w:r>
    </w:p>
    <w:p w14:paraId="4EE585DF" w14:textId="0E01373E" w:rsidR="00A01457" w:rsidRPr="00A01457" w:rsidRDefault="00A01457" w:rsidP="00A01457">
      <w:pPr>
        <w:rPr>
          <w:b/>
          <w:bCs/>
          <w:lang w:eastAsia="en-IN"/>
        </w:rPr>
      </w:pPr>
      <w:r w:rsidRPr="00A01457">
        <w:rPr>
          <w:b/>
          <w:bCs/>
          <w:lang w:eastAsia="en-IN"/>
        </w:rPr>
        <w:t>1. Portfolio-Level Visibility</w:t>
      </w:r>
    </w:p>
    <w:p w14:paraId="564DA6A2" w14:textId="77777777" w:rsidR="00A01457" w:rsidRPr="00A01457" w:rsidRDefault="00A01457" w:rsidP="00A01457">
      <w:pPr>
        <w:rPr>
          <w:lang w:eastAsia="en-IN"/>
        </w:rPr>
      </w:pPr>
      <w:r w:rsidRPr="00A01457">
        <w:rPr>
          <w:i/>
          <w:iCs/>
          <w:lang w:eastAsia="en-IN"/>
        </w:rPr>
        <w:t>Real-Time Dashboard</w:t>
      </w:r>
      <w:r w:rsidRPr="00A01457">
        <w:rPr>
          <w:lang w:eastAsia="en-IN"/>
        </w:rPr>
        <w:t>: Gain a holistic view of the entire R&amp;D portfolio with a real-time dashboard displaying key performance indicators, project timelines, and resource allocation metrics.</w:t>
      </w:r>
    </w:p>
    <w:p w14:paraId="7BFE80E5" w14:textId="77777777" w:rsidR="00A01457" w:rsidRPr="00A01457" w:rsidRDefault="00A01457" w:rsidP="00A01457">
      <w:pPr>
        <w:rPr>
          <w:lang w:eastAsia="en-IN"/>
        </w:rPr>
      </w:pPr>
      <w:r w:rsidRPr="00A01457">
        <w:rPr>
          <w:i/>
          <w:iCs/>
          <w:lang w:eastAsia="en-IN"/>
        </w:rPr>
        <w:t>Project Prioritization</w:t>
      </w:r>
      <w:r w:rsidRPr="00A01457">
        <w:rPr>
          <w:lang w:eastAsia="en-IN"/>
        </w:rPr>
        <w:t>: Identify high-impact projects and allocate resources strategically based on organizational priorities and goals.</w:t>
      </w:r>
    </w:p>
    <w:p w14:paraId="6DA3CE8B" w14:textId="77777777" w:rsidR="00A01457" w:rsidRPr="00A01457" w:rsidRDefault="00A01457" w:rsidP="00A01457">
      <w:pPr>
        <w:rPr>
          <w:lang w:eastAsia="en-IN"/>
        </w:rPr>
      </w:pPr>
      <w:r w:rsidRPr="00A01457">
        <w:rPr>
          <w:lang w:eastAsia="en-IN"/>
        </w:rPr>
        <w:t xml:space="preserve">2. </w:t>
      </w:r>
      <w:r w:rsidRPr="00A01457">
        <w:rPr>
          <w:b/>
          <w:bCs/>
          <w:lang w:eastAsia="en-IN"/>
        </w:rPr>
        <w:t>Talent Optimization</w:t>
      </w:r>
      <w:r w:rsidRPr="00A01457">
        <w:rPr>
          <w:lang w:eastAsia="en-IN"/>
        </w:rPr>
        <w:t>:</w:t>
      </w:r>
    </w:p>
    <w:p w14:paraId="4037A65A" w14:textId="2E6EBAA8" w:rsidR="00A01457" w:rsidRPr="00A01457" w:rsidRDefault="00A01457" w:rsidP="00A01457">
      <w:pPr>
        <w:rPr>
          <w:lang w:eastAsia="en-IN"/>
        </w:rPr>
      </w:pPr>
      <w:r w:rsidRPr="721228E7">
        <w:rPr>
          <w:i/>
          <w:iCs/>
          <w:lang w:eastAsia="en-IN"/>
        </w:rPr>
        <w:t>Skills Matrix</w:t>
      </w:r>
      <w:r w:rsidR="692AEB09" w:rsidRPr="721228E7">
        <w:rPr>
          <w:i/>
          <w:iCs/>
          <w:lang w:eastAsia="en-IN"/>
        </w:rPr>
        <w:t xml:space="preserve">: </w:t>
      </w:r>
      <w:r w:rsidRPr="721228E7">
        <w:rPr>
          <w:lang w:eastAsia="en-IN"/>
        </w:rPr>
        <w:t>Effectively match project requirements with the skills and expertise of internal teams, minimizing bottlenecks and ensuring optimal utilization of talent.</w:t>
      </w:r>
      <w:r w:rsidR="00512699" w:rsidRPr="721228E7">
        <w:rPr>
          <w:lang w:eastAsia="en-IN"/>
        </w:rPr>
        <w:t xml:space="preserve"> Optima helps you find the right talent for the right project.</w:t>
      </w:r>
    </w:p>
    <w:p w14:paraId="31F5AE47" w14:textId="6CEFB95C" w:rsidR="00A01457" w:rsidRPr="00A01457" w:rsidRDefault="00A01457" w:rsidP="00A01457">
      <w:pPr>
        <w:rPr>
          <w:lang w:eastAsia="en-IN"/>
        </w:rPr>
      </w:pPr>
      <w:r w:rsidRPr="00A01457">
        <w:rPr>
          <w:i/>
          <w:iCs/>
          <w:lang w:eastAsia="en-IN"/>
        </w:rPr>
        <w:t>Resource Forecasting</w:t>
      </w:r>
      <w:r w:rsidRPr="00A01457">
        <w:rPr>
          <w:lang w:eastAsia="en-IN"/>
        </w:rPr>
        <w:t>: Anticipate future skill requirements and proactively address talent gaps to avoid project delays.</w:t>
      </w:r>
      <w:r w:rsidR="00512699">
        <w:rPr>
          <w:lang w:eastAsia="en-IN"/>
        </w:rPr>
        <w:t xml:space="preserve"> Optima helps you to drive precise resource forecasting with minimum deviations.</w:t>
      </w:r>
    </w:p>
    <w:p w14:paraId="392B9CA1" w14:textId="584BE2BD" w:rsidR="00A01457" w:rsidRPr="00A01457" w:rsidRDefault="00512699" w:rsidP="00A01457">
      <w:pPr>
        <w:rPr>
          <w:lang w:eastAsia="en-IN"/>
        </w:rPr>
      </w:pPr>
      <w:r>
        <w:rPr>
          <w:lang w:eastAsia="en-IN"/>
        </w:rPr>
        <w:t xml:space="preserve">3. </w:t>
      </w:r>
      <w:r w:rsidR="00A01457" w:rsidRPr="00A01457">
        <w:rPr>
          <w:b/>
          <w:bCs/>
          <w:lang w:eastAsia="en-IN"/>
        </w:rPr>
        <w:t>Budget Control and Forecasting</w:t>
      </w:r>
      <w:r w:rsidR="00A01457" w:rsidRPr="00A01457">
        <w:rPr>
          <w:lang w:eastAsia="en-IN"/>
        </w:rPr>
        <w:t>:</w:t>
      </w:r>
    </w:p>
    <w:p w14:paraId="5924A73A" w14:textId="77777777" w:rsidR="00A01457" w:rsidRPr="00A01457" w:rsidRDefault="00A01457" w:rsidP="00A01457">
      <w:pPr>
        <w:rPr>
          <w:lang w:eastAsia="en-IN"/>
        </w:rPr>
      </w:pPr>
      <w:r w:rsidRPr="00A01457">
        <w:rPr>
          <w:i/>
          <w:iCs/>
          <w:lang w:eastAsia="en-IN"/>
        </w:rPr>
        <w:t>Cost Tracking</w:t>
      </w:r>
      <w:r w:rsidRPr="00A01457">
        <w:rPr>
          <w:lang w:eastAsia="en-IN"/>
        </w:rPr>
        <w:t>: Monitor project expenses in real-time to ensure adherence to budgets.</w:t>
      </w:r>
    </w:p>
    <w:p w14:paraId="6E3034A2" w14:textId="77777777" w:rsidR="00A01457" w:rsidRPr="00A01457" w:rsidRDefault="00A01457" w:rsidP="00A01457">
      <w:pPr>
        <w:rPr>
          <w:lang w:eastAsia="en-IN"/>
        </w:rPr>
      </w:pPr>
      <w:r w:rsidRPr="00A01457">
        <w:rPr>
          <w:i/>
          <w:iCs/>
          <w:lang w:eastAsia="en-IN"/>
        </w:rPr>
        <w:t>Financial Forecasting</w:t>
      </w:r>
      <w:r w:rsidRPr="00A01457">
        <w:rPr>
          <w:lang w:eastAsia="en-IN"/>
        </w:rPr>
        <w:t>: Utilize predictive analytics to forecast future project costs, enabling proactive financial planning.</w:t>
      </w:r>
    </w:p>
    <w:p w14:paraId="4A601F84" w14:textId="77777777" w:rsidR="00A01457" w:rsidRPr="00A01457" w:rsidRDefault="00A01457" w:rsidP="00A01457">
      <w:pPr>
        <w:rPr>
          <w:lang w:eastAsia="en-IN"/>
        </w:rPr>
      </w:pPr>
      <w:r w:rsidRPr="00A01457">
        <w:rPr>
          <w:lang w:eastAsia="en-IN"/>
        </w:rPr>
        <w:t xml:space="preserve">4. </w:t>
      </w:r>
      <w:r w:rsidRPr="00A01457">
        <w:rPr>
          <w:b/>
          <w:bCs/>
          <w:lang w:eastAsia="en-IN"/>
        </w:rPr>
        <w:t>Project Lifecycle Management</w:t>
      </w:r>
      <w:r w:rsidRPr="00A01457">
        <w:rPr>
          <w:lang w:eastAsia="en-IN"/>
        </w:rPr>
        <w:t>:</w:t>
      </w:r>
    </w:p>
    <w:p w14:paraId="64A5DDBF" w14:textId="77777777" w:rsidR="00A01457" w:rsidRPr="00A01457" w:rsidRDefault="00A01457" w:rsidP="00A01457">
      <w:pPr>
        <w:rPr>
          <w:lang w:eastAsia="en-IN"/>
        </w:rPr>
      </w:pPr>
      <w:r w:rsidRPr="00A01457">
        <w:rPr>
          <w:i/>
          <w:iCs/>
          <w:lang w:eastAsia="en-IN"/>
        </w:rPr>
        <w:t>Timeline Optimization</w:t>
      </w:r>
      <w:r w:rsidRPr="00A01457">
        <w:rPr>
          <w:lang w:eastAsia="en-IN"/>
        </w:rPr>
        <w:t>: Streamline project timelines by identifying and addressing potential bottlenecks or delays.</w:t>
      </w:r>
    </w:p>
    <w:p w14:paraId="4A38DD93" w14:textId="77777777" w:rsidR="00A01457" w:rsidRPr="00A01457" w:rsidRDefault="00A01457" w:rsidP="00A01457">
      <w:pPr>
        <w:rPr>
          <w:lang w:eastAsia="en-IN"/>
        </w:rPr>
      </w:pPr>
      <w:r w:rsidRPr="00A01457">
        <w:rPr>
          <w:i/>
          <w:iCs/>
          <w:lang w:eastAsia="en-IN"/>
        </w:rPr>
        <w:t>Risk Mitigation</w:t>
      </w:r>
      <w:r w:rsidRPr="00A01457">
        <w:rPr>
          <w:lang w:eastAsia="en-IN"/>
        </w:rPr>
        <w:t>: Anticipate and mitigate risks through a proactive approach to project management, reducing the likelihood of resource-intensive setbacks.</w:t>
      </w:r>
    </w:p>
    <w:p w14:paraId="2DDB18FE" w14:textId="2BA4C964" w:rsidR="00A01457" w:rsidRPr="00A03A26" w:rsidRDefault="00A03A26" w:rsidP="00A01457">
      <w:pPr>
        <w:rPr>
          <w:b/>
          <w:bCs/>
          <w:lang w:eastAsia="en-IN"/>
        </w:rPr>
      </w:pPr>
      <w:r w:rsidRPr="00A03A26">
        <w:rPr>
          <w:b/>
          <w:bCs/>
          <w:lang w:eastAsia="en-IN"/>
        </w:rPr>
        <w:t>Medical Affairs</w:t>
      </w:r>
    </w:p>
    <w:p w14:paraId="751A8FDF" w14:textId="43958FE6" w:rsidR="004707BE" w:rsidRPr="004707BE" w:rsidRDefault="004707BE" w:rsidP="00F35074">
      <w:pPr>
        <w:jc w:val="both"/>
        <w:rPr>
          <w:b/>
          <w:bCs/>
        </w:rPr>
      </w:pPr>
      <w:r w:rsidRPr="004707BE">
        <w:rPr>
          <w:b/>
          <w:bCs/>
        </w:rPr>
        <w:t>KOL identification, behavior analysis and tracking</w:t>
      </w:r>
    </w:p>
    <w:p w14:paraId="0C00D247" w14:textId="71B34E57" w:rsidR="00A40E2D" w:rsidRPr="00A40E2D" w:rsidRDefault="00A40E2D" w:rsidP="00A40E2D">
      <w:pPr>
        <w:jc w:val="both"/>
      </w:pPr>
      <w:r>
        <w:t xml:space="preserve">Key </w:t>
      </w:r>
      <w:r w:rsidRPr="00A40E2D">
        <w:t xml:space="preserve">Opinion Leaders (KOLs) play a pivotal role in shaping industry trends, influencing medical practices, and guiding research and development. i2e’s comprehensive KOL </w:t>
      </w:r>
      <w:r w:rsidR="0054431F">
        <w:t>offerings</w:t>
      </w:r>
      <w:r w:rsidRPr="00A40E2D">
        <w:t xml:space="preserve"> helps in KOL identification, behavior analysis, and tracking services, offering valuable insights to pharmaceutical and life sciences organizations.</w:t>
      </w:r>
    </w:p>
    <w:p w14:paraId="1A9349EF" w14:textId="202D414C" w:rsidR="00A40E2D" w:rsidRPr="00A40E2D" w:rsidRDefault="00A40E2D" w:rsidP="00A40E2D">
      <w:pPr>
        <w:jc w:val="both"/>
      </w:pPr>
      <w:r w:rsidRPr="00A40E2D">
        <w:rPr>
          <w:b/>
          <w:bCs/>
        </w:rPr>
        <w:t>KOL identification</w:t>
      </w:r>
      <w:r w:rsidRPr="00A40E2D">
        <w:t xml:space="preserve">: </w:t>
      </w:r>
      <w:r>
        <w:t xml:space="preserve">We </w:t>
      </w:r>
      <w:r w:rsidRPr="00A40E2D">
        <w:t xml:space="preserve">employ advanced algorithms and data mining techniques to identify KOLs </w:t>
      </w:r>
      <w:r w:rsidR="00D069A1">
        <w:t>in leading</w:t>
      </w:r>
      <w:r w:rsidRPr="00A40E2D">
        <w:t xml:space="preserve"> therapeutic areas. </w:t>
      </w:r>
      <w:r>
        <w:t xml:space="preserve">Our KOL </w:t>
      </w:r>
      <w:r w:rsidR="00D069A1">
        <w:t xml:space="preserve">tracking algorithm analyses </w:t>
      </w:r>
      <w:r w:rsidRPr="00A40E2D">
        <w:t>scientific literature</w:t>
      </w:r>
      <w:r w:rsidR="00D069A1">
        <w:t xml:space="preserve"> citations</w:t>
      </w:r>
      <w:r w:rsidRPr="00A40E2D">
        <w:t xml:space="preserve">, conference proceedings, clinical trial participation, and social media engagement to pinpoint </w:t>
      </w:r>
      <w:r w:rsidR="00D069A1">
        <w:t xml:space="preserve">healthcare leaders </w:t>
      </w:r>
      <w:r w:rsidRPr="00A40E2D">
        <w:t xml:space="preserve">who </w:t>
      </w:r>
      <w:r w:rsidR="00D069A1">
        <w:t>are the forefront of medical innovation and wield significant influence</w:t>
      </w:r>
      <w:r w:rsidRPr="00A40E2D">
        <w:t xml:space="preserve">. By </w:t>
      </w:r>
      <w:r w:rsidR="00D069A1">
        <w:t>converging s</w:t>
      </w:r>
      <w:r w:rsidRPr="00A40E2D">
        <w:t xml:space="preserve">tructured and unstructured data, we create </w:t>
      </w:r>
      <w:r w:rsidR="00D069A1">
        <w:t xml:space="preserve">KOL scorecards that capture a </w:t>
      </w:r>
      <w:r w:rsidRPr="00A40E2D">
        <w:t>thorough understanding of their expertise, impact, and network. Our KOL identification process considers various factors, including publication frequency, citation indices, collaboration networks, and clinical trial contributions. This multidimensional approach enables pharmaceutical and life sciences clients to pinpoint thought leaders with a demonstrated commitment to advancing research and driving innovation.</w:t>
      </w:r>
    </w:p>
    <w:p w14:paraId="13912FEB" w14:textId="35143C6B" w:rsidR="00A40E2D" w:rsidRPr="00A40E2D" w:rsidRDefault="00A40E2D" w:rsidP="00A40E2D">
      <w:pPr>
        <w:jc w:val="both"/>
      </w:pPr>
      <w:r w:rsidRPr="00D069A1">
        <w:rPr>
          <w:b/>
          <w:bCs/>
        </w:rPr>
        <w:t>KOL Behaviour analysis</w:t>
      </w:r>
      <w:r w:rsidRPr="00A40E2D">
        <w:t xml:space="preserve">: Understanding the behavior of KOLs is essential for effective </w:t>
      </w:r>
      <w:r w:rsidR="00A8450C">
        <w:t xml:space="preserve">KOL management and </w:t>
      </w:r>
      <w:r w:rsidRPr="00A40E2D">
        <w:t xml:space="preserve">engagement. Our </w:t>
      </w:r>
      <w:r w:rsidR="00DD3C23">
        <w:t>KOL</w:t>
      </w:r>
      <w:r w:rsidRPr="00A40E2D">
        <w:t xml:space="preserve"> </w:t>
      </w:r>
      <w:r w:rsidR="00A8450C">
        <w:t>offerings</w:t>
      </w:r>
      <w:r w:rsidRPr="00A40E2D">
        <w:t xml:space="preserve"> </w:t>
      </w:r>
      <w:r w:rsidR="00A8450C">
        <w:t xml:space="preserve">map the digital </w:t>
      </w:r>
      <w:r w:rsidRPr="00A40E2D">
        <w:t xml:space="preserve">footprint of KOLs, </w:t>
      </w:r>
      <w:r w:rsidR="00A8450C">
        <w:t xml:space="preserve">their </w:t>
      </w:r>
      <w:r w:rsidRPr="00A40E2D">
        <w:t xml:space="preserve">engagement with scientific communities, and participation in industry events. This behavioral analysis </w:t>
      </w:r>
      <w:r w:rsidR="00A8450C">
        <w:t>examines their clinical depth and</w:t>
      </w:r>
      <w:r w:rsidRPr="00A40E2D">
        <w:t xml:space="preserve"> stance on emerging therapies, engagement with patient communities, and alignment with industry trends.</w:t>
      </w:r>
      <w:r w:rsidR="006E3FEB">
        <w:t xml:space="preserve"> </w:t>
      </w:r>
      <w:r w:rsidRPr="00A40E2D">
        <w:t>By assessing KOL behavior</w:t>
      </w:r>
      <w:r w:rsidR="006E3FEB">
        <w:t xml:space="preserve"> through these multiple approaches</w:t>
      </w:r>
      <w:r w:rsidRPr="00A40E2D">
        <w:t xml:space="preserve">, </w:t>
      </w:r>
      <w:r w:rsidR="006E3FEB">
        <w:t xml:space="preserve">we evaluate </w:t>
      </w:r>
      <w:r w:rsidRPr="00A40E2D">
        <w:t xml:space="preserve">their communication style, preferred channels, and receptiveness to collaborations. This </w:t>
      </w:r>
      <w:r w:rsidR="006E3FEB">
        <w:t>empowers</w:t>
      </w:r>
      <w:r w:rsidRPr="00A40E2D">
        <w:t xml:space="preserve"> </w:t>
      </w:r>
      <w:r w:rsidR="006E3FEB">
        <w:t xml:space="preserve">clinical and commercial teams </w:t>
      </w:r>
      <w:r w:rsidRPr="00A40E2D">
        <w:t xml:space="preserve">to tailor their </w:t>
      </w:r>
      <w:r w:rsidR="006E3FEB">
        <w:t xml:space="preserve">KOL </w:t>
      </w:r>
      <w:r w:rsidRPr="00A40E2D">
        <w:t>outreach efforts, ensuring meaningful interactions that resonate with the KOLs' preferences and align with their professional goals.</w:t>
      </w:r>
    </w:p>
    <w:p w14:paraId="6AAB0AD3" w14:textId="41727AA2" w:rsidR="00A40E2D" w:rsidRPr="00A40E2D" w:rsidRDefault="00A40E2D" w:rsidP="00A40E2D">
      <w:pPr>
        <w:jc w:val="both"/>
      </w:pPr>
      <w:r w:rsidRPr="006E3FEB">
        <w:rPr>
          <w:b/>
          <w:bCs/>
        </w:rPr>
        <w:t>KOL Tracking</w:t>
      </w:r>
      <w:r w:rsidRPr="00A40E2D">
        <w:t xml:space="preserve">: Continuous monitoring of KOL activities is </w:t>
      </w:r>
      <w:r w:rsidR="006E3FEB">
        <w:t>essential for strategic interventions by the clinical and commercial teams</w:t>
      </w:r>
      <w:r w:rsidRPr="00A40E2D">
        <w:t xml:space="preserve">. </w:t>
      </w:r>
      <w:r w:rsidR="006E3FEB">
        <w:t xml:space="preserve">Through real time tracking mechanisms, our insights platform informs </w:t>
      </w:r>
      <w:r w:rsidRPr="00A40E2D">
        <w:t>clients informed about KOL publications, conference presentations, and collaborations. By monitoring shifts in KOL behavior and the evolving landscape of their influence, organizations can proactively adjust their engagement strategies</w:t>
      </w:r>
      <w:r w:rsidR="006E3FEB">
        <w:t xml:space="preserve">. i2e offers </w:t>
      </w:r>
      <w:r w:rsidRPr="00A40E2D">
        <w:t xml:space="preserve">tracking capabilities </w:t>
      </w:r>
      <w:r w:rsidR="006E3FEB">
        <w:t xml:space="preserve">that </w:t>
      </w:r>
      <w:r w:rsidRPr="00A40E2D">
        <w:t xml:space="preserve">extend beyond traditional metrics, </w:t>
      </w:r>
      <w:r w:rsidR="006E3FEB">
        <w:t xml:space="preserve">as we </w:t>
      </w:r>
      <w:r w:rsidRPr="00A40E2D">
        <w:t>incorporat</w:t>
      </w:r>
      <w:r w:rsidR="006E3FEB">
        <w:t>e scientific</w:t>
      </w:r>
      <w:r w:rsidRPr="00A40E2D">
        <w:t xml:space="preserve"> sentiment analysis and social listening to gauge the impact of KOLs within broader communities. This comprehensive approach allows life sciences companies to identify emerging thought leaders, track the evolution of existing ones, and stay ahead in a rapidly evolving healthcare ecosystem.</w:t>
      </w:r>
    </w:p>
    <w:p w14:paraId="0ED956AE" w14:textId="6C1743BB" w:rsidR="00A40E2D" w:rsidRPr="00A40E2D" w:rsidRDefault="00A40E2D" w:rsidP="00A40E2D">
      <w:pPr>
        <w:jc w:val="both"/>
      </w:pPr>
      <w:r w:rsidRPr="00A40E2D">
        <w:t xml:space="preserve">Recognizing that each therapeutic area and market segment is unique, </w:t>
      </w:r>
      <w:r w:rsidR="00DD3C23">
        <w:t>our KOL offerings</w:t>
      </w:r>
      <w:r w:rsidRPr="00A40E2D">
        <w:t xml:space="preserve"> provide customizable insights and reports tailored to the specific needs of our clients. Whether it's identifying KOLs in a niche </w:t>
      </w:r>
      <w:r w:rsidR="00DD3C23">
        <w:t>therapy area</w:t>
      </w:r>
      <w:r w:rsidRPr="00A40E2D">
        <w:t>, understanding their preferences for collaboration, or tracking their influence over time, our platform generates actionable intelligence that informs strategic decision-making.</w:t>
      </w:r>
      <w:r w:rsidR="007939D2">
        <w:t xml:space="preserve"> </w:t>
      </w:r>
      <w:r w:rsidRPr="00A40E2D">
        <w:t>Our reports go beyond quantitative metrics, incorporating qualitative assessments of KOL impact, thought leadership, and potential for collaboration. This holistic approach ensures that life sciences organizations receive nuanced insights that drive effective engagement and foster long-term partnerships with key influencers.</w:t>
      </w:r>
    </w:p>
    <w:p w14:paraId="4DEAEDC8" w14:textId="442D90A1" w:rsidR="00A40E2D" w:rsidRPr="00A40E2D" w:rsidRDefault="00A40E2D" w:rsidP="007939D2">
      <w:pPr>
        <w:jc w:val="both"/>
      </w:pPr>
      <w:r w:rsidRPr="007939D2">
        <w:rPr>
          <w:b/>
          <w:bCs/>
        </w:rPr>
        <w:t>Compliance and ethical considerations</w:t>
      </w:r>
      <w:r w:rsidRPr="00A40E2D">
        <w:t xml:space="preserve">: </w:t>
      </w:r>
      <w:r w:rsidR="007939D2">
        <w:t xml:space="preserve">i2e remains committed to adherence to all </w:t>
      </w:r>
      <w:r w:rsidRPr="00A40E2D">
        <w:t xml:space="preserve">compliance and ethical considerations. </w:t>
      </w:r>
      <w:r w:rsidR="007939D2">
        <w:t xml:space="preserve">Our solutions are </w:t>
      </w:r>
      <w:r w:rsidRPr="00A40E2D">
        <w:t>designed to adhere to industry standards and regulations, ensuring that KOL identification, behavior analysis, and tracking activities align with ethical guidelines and legal requirements</w:t>
      </w:r>
      <w:r w:rsidR="007939D2">
        <w:t xml:space="preserve"> of the countries that you operate out of. </w:t>
      </w:r>
      <w:r w:rsidRPr="00A40E2D">
        <w:t>We prioritize data privacy and security, implementing robust measures to safeguard sensitive information. Our commitment to compliance enhances the trust and confidence that pharmaceutical and life sciences organizations can place in our analytics services</w:t>
      </w:r>
      <w:r w:rsidR="007939D2">
        <w:t>.</w:t>
      </w:r>
    </w:p>
    <w:p w14:paraId="0862F2CE" w14:textId="77777777" w:rsidR="004F0A01" w:rsidRDefault="004F0A01" w:rsidP="00A40E2D">
      <w:pPr>
        <w:jc w:val="both"/>
        <w:rPr>
          <w:b/>
          <w:bCs/>
        </w:rPr>
      </w:pPr>
    </w:p>
    <w:p w14:paraId="20F3063F" w14:textId="77777777" w:rsidR="004F0A01" w:rsidRDefault="004F0A01" w:rsidP="00A40E2D">
      <w:pPr>
        <w:jc w:val="both"/>
        <w:rPr>
          <w:b/>
          <w:bCs/>
        </w:rPr>
      </w:pPr>
    </w:p>
    <w:p w14:paraId="02E3471F" w14:textId="7EAA7CC5" w:rsidR="004F0A01" w:rsidRDefault="00DD3C23" w:rsidP="00A40E2D">
      <w:pPr>
        <w:jc w:val="both"/>
        <w:rPr>
          <w:b/>
          <w:bCs/>
        </w:rPr>
      </w:pPr>
      <w:r>
        <w:rPr>
          <w:b/>
          <w:bCs/>
        </w:rPr>
        <w:t>Technologies</w:t>
      </w:r>
    </w:p>
    <w:p w14:paraId="5EDD0970" w14:textId="2643676B" w:rsidR="00A40E2D" w:rsidRDefault="001513B9" w:rsidP="00A40E2D">
      <w:pPr>
        <w:jc w:val="both"/>
        <w:rPr>
          <w:b/>
          <w:bCs/>
        </w:rPr>
      </w:pPr>
      <w:r w:rsidRPr="001513B9">
        <w:rPr>
          <w:b/>
          <w:bCs/>
        </w:rPr>
        <w:t>Cloud</w:t>
      </w:r>
    </w:p>
    <w:p w14:paraId="217DFF1A" w14:textId="3A8420E7" w:rsidR="001513B9" w:rsidRPr="002537A6" w:rsidRDefault="001513B9" w:rsidP="00996733">
      <w:pPr>
        <w:jc w:val="both"/>
      </w:pPr>
      <w:r w:rsidRPr="002537A6">
        <w:t xml:space="preserve">The life sciences industry relies on </w:t>
      </w:r>
      <w:r w:rsidR="00967A3A">
        <w:t xml:space="preserve">a high volume of </w:t>
      </w:r>
      <w:r w:rsidR="007A0A57">
        <w:t>on-time data from multiple source points. However</w:t>
      </w:r>
      <w:r w:rsidR="003B38E6">
        <w:t>,</w:t>
      </w:r>
      <w:r w:rsidR="007A0A57">
        <w:t xml:space="preserve"> the industry has historically struggled to stay ahead of the digital maturity curve. </w:t>
      </w:r>
      <w:r w:rsidR="003B38E6">
        <w:t>A</w:t>
      </w:r>
      <w:r w:rsidRPr="002537A6">
        <w:t xml:space="preserve">ccurate, accessible data </w:t>
      </w:r>
      <w:r w:rsidR="003B38E6">
        <w:t xml:space="preserve">helps advance </w:t>
      </w:r>
      <w:r w:rsidRPr="002537A6">
        <w:t xml:space="preserve">R&amp;D efforts and </w:t>
      </w:r>
      <w:r w:rsidR="003B38E6">
        <w:t>commercialization functions</w:t>
      </w:r>
      <w:r w:rsidRPr="002537A6">
        <w:t>.</w:t>
      </w:r>
    </w:p>
    <w:p w14:paraId="73BA80CF" w14:textId="78BB9B09" w:rsidR="001513B9" w:rsidRDefault="00B2297B" w:rsidP="00996733">
      <w:pPr>
        <w:jc w:val="both"/>
      </w:pPr>
      <w:r>
        <w:t xml:space="preserve">Healthcare cost inequities are </w:t>
      </w:r>
      <w:r w:rsidR="003B38E6">
        <w:t xml:space="preserve">in-built into the way the life sciences industry processes and analyses data. </w:t>
      </w:r>
      <w:r>
        <w:t xml:space="preserve">Strategic deployment of cloud solutions helps life sciences organizations make the right choices for healthcare innovation. </w:t>
      </w:r>
    </w:p>
    <w:p w14:paraId="566D431A" w14:textId="3A2195C5" w:rsidR="00C72723" w:rsidRPr="002537A6" w:rsidRDefault="00C72723" w:rsidP="00996733">
      <w:pPr>
        <w:jc w:val="both"/>
      </w:pPr>
      <w:r w:rsidRPr="002537A6">
        <w:t xml:space="preserve">Services for cloud are now far beyond IT services modernization. With i2e’s </w:t>
      </w:r>
      <w:r>
        <w:t>Cloud Transformation Suite</w:t>
      </w:r>
      <w:r w:rsidRPr="002537A6">
        <w:t>, you can accelerate business value in critical areas such as digital supply chain, improved HCP engagement, faster time to market for key therapies.</w:t>
      </w:r>
    </w:p>
    <w:p w14:paraId="4DD341E5" w14:textId="3E67CEA1" w:rsidR="00C72723" w:rsidRDefault="003B38E6" w:rsidP="00996733">
      <w:pPr>
        <w:jc w:val="both"/>
      </w:pPr>
      <w:r>
        <w:t xml:space="preserve">i2e’s Cloud Transformation Suite </w:t>
      </w:r>
      <w:r w:rsidR="00C72723">
        <w:t xml:space="preserve">is an essential service </w:t>
      </w:r>
      <w:r w:rsidR="00A85353" w:rsidRPr="002537A6">
        <w:t xml:space="preserve">for managing, processing, and transforming life sciences data. </w:t>
      </w:r>
      <w:r w:rsidR="00C72723">
        <w:t>Enabling cloud infrastructure means access to</w:t>
      </w:r>
      <w:r w:rsidR="00A85353" w:rsidRPr="002537A6">
        <w:t xml:space="preserve"> advanced insights and </w:t>
      </w:r>
      <w:r w:rsidR="00C72723">
        <w:t>scalable workflows.</w:t>
      </w:r>
    </w:p>
    <w:p w14:paraId="0AA68E65" w14:textId="75F3AA1C" w:rsidR="00876DA2" w:rsidRPr="002537A6" w:rsidRDefault="00876DA2" w:rsidP="00996733">
      <w:pPr>
        <w:jc w:val="both"/>
      </w:pPr>
      <w:r>
        <w:t>Services in the i2e Cloud Transformation Suite:</w:t>
      </w:r>
    </w:p>
    <w:p w14:paraId="7839DEEC" w14:textId="01820DD4" w:rsidR="00C04511" w:rsidRDefault="00876DA2" w:rsidP="00876DA2">
      <w:pPr>
        <w:pStyle w:val="ListParagraph"/>
        <w:numPr>
          <w:ilvl w:val="0"/>
          <w:numId w:val="21"/>
        </w:numPr>
        <w:jc w:val="both"/>
      </w:pPr>
      <w:r>
        <w:t>Cloud consulting</w:t>
      </w:r>
    </w:p>
    <w:p w14:paraId="517F7C51" w14:textId="36010166" w:rsidR="00876DA2" w:rsidRPr="002537A6" w:rsidRDefault="00876DA2" w:rsidP="00876DA2">
      <w:pPr>
        <w:pStyle w:val="ListParagraph"/>
        <w:numPr>
          <w:ilvl w:val="0"/>
          <w:numId w:val="21"/>
        </w:numPr>
        <w:jc w:val="both"/>
      </w:pPr>
      <w:r>
        <w:t>Cloud migration</w:t>
      </w:r>
    </w:p>
    <w:p w14:paraId="30EB1589" w14:textId="77777777" w:rsidR="00876DA2" w:rsidRDefault="00876DA2" w:rsidP="00A40E2D">
      <w:pPr>
        <w:jc w:val="both"/>
      </w:pPr>
    </w:p>
    <w:p w14:paraId="6B86B9A9" w14:textId="13B2859A" w:rsidR="00876DA2" w:rsidRPr="00ED7476" w:rsidRDefault="00876DA2" w:rsidP="00A40E2D">
      <w:pPr>
        <w:jc w:val="both"/>
      </w:pPr>
      <w:commentRangeStart w:id="1"/>
      <w:r w:rsidRPr="00ED7476">
        <w:t>AI/ML</w:t>
      </w:r>
    </w:p>
    <w:p w14:paraId="451B97BE" w14:textId="0DF15412" w:rsidR="00876DA2" w:rsidRDefault="00DD3C23" w:rsidP="00A40E2D">
      <w:pPr>
        <w:jc w:val="both"/>
      </w:pPr>
      <w:r>
        <w:t>Big Data</w:t>
      </w:r>
    </w:p>
    <w:p w14:paraId="00DE3D6D" w14:textId="6B2CEE73" w:rsidR="00DD3C23" w:rsidRDefault="00DD3C23" w:rsidP="00A40E2D">
      <w:pPr>
        <w:jc w:val="both"/>
      </w:pPr>
      <w:r>
        <w:t>Data Engineering</w:t>
      </w:r>
    </w:p>
    <w:p w14:paraId="54CD48DD" w14:textId="18EE4F59" w:rsidR="00DD3C23" w:rsidRDefault="00DD3C23" w:rsidP="00A40E2D">
      <w:pPr>
        <w:jc w:val="both"/>
      </w:pPr>
      <w:r>
        <w:t>Office 365</w:t>
      </w:r>
    </w:p>
    <w:p w14:paraId="4948B620" w14:textId="2CEE3908" w:rsidR="00DD3C23" w:rsidRDefault="00DD3C23" w:rsidP="00A40E2D">
      <w:pPr>
        <w:jc w:val="both"/>
      </w:pPr>
      <w:r>
        <w:t>PPM</w:t>
      </w:r>
    </w:p>
    <w:p w14:paraId="54C12AD1" w14:textId="3ADDD6D0" w:rsidR="00343F98" w:rsidRPr="00A40E2D" w:rsidRDefault="00343F98" w:rsidP="00A40E2D">
      <w:pPr>
        <w:jc w:val="both"/>
      </w:pPr>
      <w:r w:rsidRPr="00A40E2D">
        <w:t>Partners</w:t>
      </w:r>
      <w:commentRangeEnd w:id="1"/>
      <w:r w:rsidR="00ED7476">
        <w:rPr>
          <w:rStyle w:val="CommentReference"/>
        </w:rPr>
        <w:commentReference w:id="1"/>
      </w:r>
    </w:p>
    <w:p w14:paraId="1D9881DB" w14:textId="6F599944" w:rsidR="00343F98" w:rsidRPr="00343F98" w:rsidRDefault="00343F98" w:rsidP="00F35074">
      <w:pPr>
        <w:jc w:val="both"/>
        <w:rPr>
          <w:b/>
          <w:bCs/>
        </w:rPr>
      </w:pPr>
      <w:r w:rsidRPr="00343F98">
        <w:rPr>
          <w:b/>
          <w:bCs/>
        </w:rPr>
        <w:t>Planisware</w:t>
      </w:r>
    </w:p>
    <w:p w14:paraId="5AF59594" w14:textId="6A6C4194" w:rsidR="00343F98" w:rsidRPr="00343F98" w:rsidRDefault="00343F98" w:rsidP="00F35074">
      <w:pPr>
        <w:jc w:val="both"/>
      </w:pPr>
      <w:r w:rsidRPr="00343F98">
        <w:t xml:space="preserve">i2e consulting is a part of the Planisware strategic alliance. As implementation and consulting partners, we help organizations implement Planisware Enterprise or Orchestra. In addition, our expertise includes Planisware system integration, portfolio dashboards with Planisware </w:t>
      </w:r>
      <w:r w:rsidR="00DD3C23" w:rsidRPr="00343F98">
        <w:t>dataset</w:t>
      </w:r>
      <w:r w:rsidR="00ED6BD2">
        <w:t>s</w:t>
      </w:r>
      <w:r w:rsidRPr="00343F98">
        <w:t xml:space="preserve"> for better decision making.</w:t>
      </w:r>
      <w:r w:rsidR="009A2BC2">
        <w:t xml:space="preserve"> Click here to view our in-house Planisware experts.</w:t>
      </w:r>
    </w:p>
    <w:p w14:paraId="248C8EE9" w14:textId="696B1DB2" w:rsidR="00343F98" w:rsidRPr="00343F98" w:rsidRDefault="00343F98" w:rsidP="00F35074">
      <w:pPr>
        <w:jc w:val="both"/>
        <w:rPr>
          <w:b/>
          <w:bCs/>
        </w:rPr>
      </w:pPr>
      <w:r w:rsidRPr="00343F98">
        <w:rPr>
          <w:b/>
          <w:bCs/>
        </w:rPr>
        <w:t>Dataiku</w:t>
      </w:r>
    </w:p>
    <w:p w14:paraId="4A5C68D2" w14:textId="18A5584F" w:rsidR="009A2BC2" w:rsidRPr="00343F98" w:rsidRDefault="00343F98" w:rsidP="009A2BC2">
      <w:pPr>
        <w:jc w:val="both"/>
      </w:pPr>
      <w:r>
        <w:t>Dataiku is one of the world’s leading AI and machine learning platforms, supporting agility in organizations’ data efforts via collaborative, elastic, and responsible AI, all at enterprise scale. Hundreds of companies use Dataiku to underpin their essential business operations and ensure they stay relevant in a changing world, including models driving fraud detection, customer churn prevention, predictive maintenance, supply chain optimization, and much more.</w:t>
      </w:r>
      <w:r>
        <w:br/>
      </w:r>
      <w:r>
        <w:br/>
        <w:t xml:space="preserve">Dataiku is built for companies looking to democratize AI across their organization, bringing agility and preparedness to the business </w:t>
      </w:r>
      <w:r w:rsidR="1386FCB5">
        <w:t>using</w:t>
      </w:r>
      <w:r>
        <w:t xml:space="preserve"> data</w:t>
      </w:r>
      <w:r w:rsidR="7F15E975">
        <w:t>licen</w:t>
      </w:r>
      <w:r>
        <w:t xml:space="preserve"> by everyone from analysts to data scientists.</w:t>
      </w:r>
      <w:r w:rsidR="009A2BC2">
        <w:t xml:space="preserve"> Click here to view our in-house Dataiku experts.</w:t>
      </w:r>
    </w:p>
    <w:p w14:paraId="57A562B3" w14:textId="562E0B4B" w:rsidR="00343F98" w:rsidRDefault="00343F98" w:rsidP="00F35074">
      <w:pPr>
        <w:jc w:val="both"/>
      </w:pPr>
    </w:p>
    <w:p w14:paraId="391BFBA1" w14:textId="77777777" w:rsidR="00343F98" w:rsidRPr="00343F98" w:rsidRDefault="00343F98" w:rsidP="00F35074">
      <w:pPr>
        <w:jc w:val="both"/>
        <w:rPr>
          <w:b/>
          <w:bCs/>
        </w:rPr>
      </w:pPr>
      <w:r w:rsidRPr="00343F98">
        <w:rPr>
          <w:b/>
          <w:bCs/>
        </w:rPr>
        <w:t>Snowflake</w:t>
      </w:r>
    </w:p>
    <w:p w14:paraId="21BD1775" w14:textId="2F67B874" w:rsidR="00343F98" w:rsidRDefault="00343F98" w:rsidP="00F35074">
      <w:pPr>
        <w:jc w:val="both"/>
      </w:pPr>
      <w:r w:rsidRPr="00343F98">
        <w:t>We partnered with Snowflake to help our customers leverage the flexible data management and analytical services of Snowflake. The cloud platform’s Data Cloud connects to dozens of other solutions, to easily extract valuable insights. As a technology partner our team has the expertise to consult and implement Snowflake in line with your business needs.</w:t>
      </w:r>
    </w:p>
    <w:p w14:paraId="37811D7C" w14:textId="1BC12B94" w:rsidR="00343F98" w:rsidRPr="00DE6300" w:rsidRDefault="00343F98" w:rsidP="00F35074">
      <w:pPr>
        <w:jc w:val="both"/>
        <w:rPr>
          <w:b/>
          <w:bCs/>
        </w:rPr>
      </w:pPr>
      <w:r w:rsidRPr="00DE6300">
        <w:rPr>
          <w:b/>
          <w:bCs/>
        </w:rPr>
        <w:t>Microsoft</w:t>
      </w:r>
    </w:p>
    <w:p w14:paraId="201EA15F" w14:textId="4976A5D8" w:rsidR="00343F98" w:rsidRDefault="00343F98" w:rsidP="00F35074">
      <w:pPr>
        <w:jc w:val="both"/>
      </w:pPr>
      <w:r>
        <w:t xml:space="preserve">We are </w:t>
      </w:r>
      <w:r w:rsidRPr="00343F98">
        <w:t>gold Microsoft certified solution provider. We specialize in providing up-to-date Microsoft technology-based customer solutions like Cloud Solutions, Project Management, Business Productivity. In addition, under Microsoft Services Provider License Agreement (SPLA), we also provide licenses for software services and hosted applications to end customers.</w:t>
      </w:r>
    </w:p>
    <w:p w14:paraId="172CC34C" w14:textId="2BB70DF5" w:rsidR="00DE6300" w:rsidRPr="00DE6300" w:rsidRDefault="00DE6300" w:rsidP="00F35074">
      <w:pPr>
        <w:jc w:val="both"/>
        <w:rPr>
          <w:b/>
          <w:bCs/>
        </w:rPr>
      </w:pPr>
      <w:r w:rsidRPr="00DE6300">
        <w:rPr>
          <w:b/>
          <w:bCs/>
        </w:rPr>
        <w:t>AWS</w:t>
      </w:r>
    </w:p>
    <w:p w14:paraId="7FD2ACCE" w14:textId="5B02B614" w:rsidR="00DE6300" w:rsidRDefault="00DE6300" w:rsidP="00F35074">
      <w:pPr>
        <w:jc w:val="both"/>
      </w:pPr>
      <w:r w:rsidRPr="00DE6300">
        <w:t>We are an AWS technology and consulting businesses Partner. As a part of the AWS Partner Network (APN), we leverage Amazon Web Services to build solutions and services for customers. This empowers us with AWS expertise, and uniquely positions us to help companies at various stages of their cloud journey.</w:t>
      </w:r>
    </w:p>
    <w:p w14:paraId="3420F3B8" w14:textId="621991D3" w:rsidR="00DE6300" w:rsidRPr="00DE6300" w:rsidRDefault="00DE6300" w:rsidP="00F35074">
      <w:pPr>
        <w:jc w:val="both"/>
        <w:rPr>
          <w:b/>
          <w:bCs/>
        </w:rPr>
      </w:pPr>
      <w:r w:rsidRPr="00DE6300">
        <w:rPr>
          <w:b/>
          <w:bCs/>
        </w:rPr>
        <w:t>Automation Anywhere</w:t>
      </w:r>
    </w:p>
    <w:p w14:paraId="29FA9BA7" w14:textId="38BE92CA" w:rsidR="00DE6300" w:rsidRPr="00D20B82" w:rsidRDefault="00DE6300" w:rsidP="00F35074">
      <w:pPr>
        <w:jc w:val="both"/>
      </w:pPr>
      <w:r w:rsidRPr="00DE6300">
        <w:t>Our technology alliance partnership with Automation Anywhere helps us build, enhance and implement automation solutions. Th fastest growing RPA partner network out there.</w:t>
      </w:r>
    </w:p>
    <w:p w14:paraId="711625D2" w14:textId="11522BEF" w:rsidR="00816D33" w:rsidRDefault="002E5E53" w:rsidP="00F35074">
      <w:pPr>
        <w:jc w:val="both"/>
        <w:rPr>
          <w:b/>
          <w:bCs/>
        </w:rPr>
      </w:pPr>
      <w:r w:rsidRPr="002E5E53">
        <w:rPr>
          <w:b/>
          <w:bCs/>
        </w:rPr>
        <w:t>Working at i2e</w:t>
      </w:r>
    </w:p>
    <w:p w14:paraId="0892E723" w14:textId="5D951C36" w:rsidR="002E5E53" w:rsidRDefault="002E5E53" w:rsidP="00F35074">
      <w:pPr>
        <w:jc w:val="both"/>
      </w:pPr>
      <w:r>
        <w:t xml:space="preserve">At i2e, we take pride in our diversity and openness. Our people first culture guides us to operate </w:t>
      </w:r>
      <w:r w:rsidRPr="002E5E53">
        <w:t xml:space="preserve">with the highest level of integrity </w:t>
      </w:r>
      <w:r>
        <w:t>to fulfil i2e’s</w:t>
      </w:r>
      <w:r w:rsidRPr="002E5E53">
        <w:t xml:space="preserve"> mission. Our leadership team and the Board are committed to this mission.</w:t>
      </w:r>
    </w:p>
    <w:p w14:paraId="62A54A63" w14:textId="7B1C1D9E" w:rsidR="001B06EE" w:rsidRPr="00451077" w:rsidRDefault="001B06EE" w:rsidP="00F35074">
      <w:pPr>
        <w:jc w:val="both"/>
        <w:rPr>
          <w:b/>
          <w:bCs/>
        </w:rPr>
      </w:pPr>
      <w:r w:rsidRPr="00451077">
        <w:rPr>
          <w:b/>
          <w:bCs/>
        </w:rPr>
        <w:t>Work at i2e</w:t>
      </w:r>
    </w:p>
    <w:p w14:paraId="3E0CDDF0" w14:textId="670D63C2" w:rsidR="001B06EE" w:rsidRDefault="001B06EE" w:rsidP="00F35074">
      <w:pPr>
        <w:jc w:val="both"/>
      </w:pPr>
      <w:r w:rsidRPr="001B06EE">
        <w:t>At i2e, our employee growth framework is</w:t>
      </w:r>
      <w:r w:rsidR="00C110E3">
        <w:t xml:space="preserve"> to</w:t>
      </w:r>
      <w:r w:rsidRPr="001B06EE">
        <w:t xml:space="preserve"> provide world-class training, support and growth prospects - all crafter to build on your unique skills and outline your success. You will be in a highly collaborative culture among a bunch of the most talented folks in the industry.</w:t>
      </w:r>
    </w:p>
    <w:p w14:paraId="5877CE63" w14:textId="6EDF6E24" w:rsidR="001F6FE3" w:rsidRDefault="001B06EE" w:rsidP="00F35074">
      <w:pPr>
        <w:jc w:val="both"/>
      </w:pPr>
      <w:r>
        <w:t>&lt;Employee testimonials&gt;</w:t>
      </w:r>
    </w:p>
    <w:p w14:paraId="0C915118" w14:textId="77777777" w:rsidR="001F6FE3" w:rsidRDefault="001F6FE3">
      <w:r>
        <w:br w:type="page"/>
      </w:r>
    </w:p>
    <w:p w14:paraId="157A3AC0" w14:textId="77777777" w:rsidR="001F6FE3" w:rsidRDefault="001F6FE3" w:rsidP="00F35074">
      <w:pPr>
        <w:jc w:val="both"/>
      </w:pPr>
    </w:p>
    <w:p w14:paraId="75DA2CB0" w14:textId="77777777" w:rsidR="001B06EE" w:rsidRPr="002E5E53" w:rsidRDefault="001B06EE" w:rsidP="00F35074">
      <w:pPr>
        <w:jc w:val="both"/>
      </w:pPr>
    </w:p>
    <w:sectPr w:rsidR="001B06EE" w:rsidRPr="002E5E5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medha Chatterjee" w:date="2023-12-05T16:17:00Z" w:initials="SC">
    <w:p w14:paraId="775E142E" w14:textId="77777777" w:rsidR="008721F9" w:rsidRDefault="008721F9" w:rsidP="009306A9">
      <w:pPr>
        <w:pStyle w:val="CommentText"/>
      </w:pPr>
      <w:r>
        <w:rPr>
          <w:rStyle w:val="CommentReference"/>
        </w:rPr>
        <w:annotationRef/>
      </w:r>
      <w:r>
        <w:t>This is being finalized.</w:t>
      </w:r>
    </w:p>
  </w:comment>
  <w:comment w:id="1" w:author="Sumedha Chatterjee" w:date="2023-12-12T11:01:00Z" w:initials="SC">
    <w:p w14:paraId="29379CDC" w14:textId="77777777" w:rsidR="00ED7476" w:rsidRDefault="00ED7476" w:rsidP="009306A9">
      <w:pPr>
        <w:pStyle w:val="CommentText"/>
      </w:pPr>
      <w:r>
        <w:rPr>
          <w:rStyle w:val="CommentReference"/>
        </w:rPr>
        <w:annotationRef/>
      </w:r>
      <w:r>
        <w:t>Content is being drafted for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5E142E" w15:done="0"/>
  <w15:commentEx w15:paraId="29379C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ECC54A" w16cex:dateUtc="2023-12-05T10:47:00Z"/>
  <w16cex:commentExtensible w16cex:durableId="11683DC7" w16cex:dateUtc="2023-12-12T0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5E142E" w16cid:durableId="65ECC54A"/>
  <w16cid:commentId w16cid:paraId="29379CDC" w16cid:durableId="11683D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1A34"/>
    <w:multiLevelType w:val="hybridMultilevel"/>
    <w:tmpl w:val="E8A0DD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463CD4"/>
    <w:multiLevelType w:val="hybridMultilevel"/>
    <w:tmpl w:val="B7443A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5A1A3E"/>
    <w:multiLevelType w:val="multilevel"/>
    <w:tmpl w:val="DD5E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5087A"/>
    <w:multiLevelType w:val="hybridMultilevel"/>
    <w:tmpl w:val="B1A462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F514992"/>
    <w:multiLevelType w:val="hybridMultilevel"/>
    <w:tmpl w:val="66AAEE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7F2C08"/>
    <w:multiLevelType w:val="hybridMultilevel"/>
    <w:tmpl w:val="ED66ED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2B176F"/>
    <w:multiLevelType w:val="multilevel"/>
    <w:tmpl w:val="3F52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23223D"/>
    <w:multiLevelType w:val="hybridMultilevel"/>
    <w:tmpl w:val="549A3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C2A1336"/>
    <w:multiLevelType w:val="multilevel"/>
    <w:tmpl w:val="7F8C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01344"/>
    <w:multiLevelType w:val="hybridMultilevel"/>
    <w:tmpl w:val="995E4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4B4078"/>
    <w:multiLevelType w:val="hybridMultilevel"/>
    <w:tmpl w:val="0D82B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05E3027"/>
    <w:multiLevelType w:val="hybridMultilevel"/>
    <w:tmpl w:val="22E06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5757E7E"/>
    <w:multiLevelType w:val="hybridMultilevel"/>
    <w:tmpl w:val="ED8EF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67F6DD9"/>
    <w:multiLevelType w:val="multilevel"/>
    <w:tmpl w:val="B6E6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0951AC"/>
    <w:multiLevelType w:val="multilevel"/>
    <w:tmpl w:val="D5C4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E228E5"/>
    <w:multiLevelType w:val="multilevel"/>
    <w:tmpl w:val="2714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5E3441"/>
    <w:multiLevelType w:val="hybridMultilevel"/>
    <w:tmpl w:val="DC80D6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D9C5A51"/>
    <w:multiLevelType w:val="hybridMultilevel"/>
    <w:tmpl w:val="48A0B81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6EB5E39"/>
    <w:multiLevelType w:val="multilevel"/>
    <w:tmpl w:val="15A4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99133E"/>
    <w:multiLevelType w:val="hybridMultilevel"/>
    <w:tmpl w:val="B0E013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D737F59"/>
    <w:multiLevelType w:val="multilevel"/>
    <w:tmpl w:val="9376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122F02"/>
    <w:multiLevelType w:val="multilevel"/>
    <w:tmpl w:val="5DC499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4A44EE5"/>
    <w:multiLevelType w:val="hybridMultilevel"/>
    <w:tmpl w:val="DB76E5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8B2652E"/>
    <w:multiLevelType w:val="multilevel"/>
    <w:tmpl w:val="B404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2C40CF"/>
    <w:multiLevelType w:val="hybridMultilevel"/>
    <w:tmpl w:val="79180F7A"/>
    <w:lvl w:ilvl="0" w:tplc="F97E014C">
      <w:start w:val="1"/>
      <w:numFmt w:val="bullet"/>
      <w:lvlText w:val=""/>
      <w:lvlJc w:val="left"/>
      <w:pPr>
        <w:ind w:left="720" w:hanging="360"/>
      </w:pPr>
      <w:rPr>
        <w:rFonts w:ascii="Symbol" w:hAnsi="Symbol" w:hint="default"/>
      </w:rPr>
    </w:lvl>
    <w:lvl w:ilvl="1" w:tplc="335E13C6">
      <w:start w:val="1"/>
      <w:numFmt w:val="bullet"/>
      <w:lvlText w:val=""/>
      <w:lvlJc w:val="left"/>
      <w:pPr>
        <w:ind w:left="1440" w:hanging="360"/>
      </w:pPr>
      <w:rPr>
        <w:rFonts w:ascii="Wingdings" w:hAnsi="Wingdings" w:hint="default"/>
      </w:rPr>
    </w:lvl>
    <w:lvl w:ilvl="2" w:tplc="1854D19A">
      <w:start w:val="1"/>
      <w:numFmt w:val="bullet"/>
      <w:lvlText w:val=""/>
      <w:lvlJc w:val="left"/>
      <w:pPr>
        <w:ind w:left="2160" w:hanging="360"/>
      </w:pPr>
      <w:rPr>
        <w:rFonts w:ascii="Wingdings" w:hAnsi="Wingdings" w:hint="default"/>
      </w:rPr>
    </w:lvl>
    <w:lvl w:ilvl="3" w:tplc="B11AA982">
      <w:start w:val="1"/>
      <w:numFmt w:val="bullet"/>
      <w:lvlText w:val=""/>
      <w:lvlJc w:val="left"/>
      <w:pPr>
        <w:ind w:left="2880" w:hanging="360"/>
      </w:pPr>
      <w:rPr>
        <w:rFonts w:ascii="Symbol" w:hAnsi="Symbol" w:hint="default"/>
      </w:rPr>
    </w:lvl>
    <w:lvl w:ilvl="4" w:tplc="4F0CCD4E">
      <w:start w:val="1"/>
      <w:numFmt w:val="bullet"/>
      <w:lvlText w:val="o"/>
      <w:lvlJc w:val="left"/>
      <w:pPr>
        <w:ind w:left="3600" w:hanging="360"/>
      </w:pPr>
      <w:rPr>
        <w:rFonts w:ascii="Courier New" w:hAnsi="Courier New" w:hint="default"/>
      </w:rPr>
    </w:lvl>
    <w:lvl w:ilvl="5" w:tplc="B3DA4FF4">
      <w:start w:val="1"/>
      <w:numFmt w:val="bullet"/>
      <w:lvlText w:val=""/>
      <w:lvlJc w:val="left"/>
      <w:pPr>
        <w:ind w:left="4320" w:hanging="360"/>
      </w:pPr>
      <w:rPr>
        <w:rFonts w:ascii="Wingdings" w:hAnsi="Wingdings" w:hint="default"/>
      </w:rPr>
    </w:lvl>
    <w:lvl w:ilvl="6" w:tplc="988CDF04">
      <w:start w:val="1"/>
      <w:numFmt w:val="bullet"/>
      <w:lvlText w:val=""/>
      <w:lvlJc w:val="left"/>
      <w:pPr>
        <w:ind w:left="5040" w:hanging="360"/>
      </w:pPr>
      <w:rPr>
        <w:rFonts w:ascii="Symbol" w:hAnsi="Symbol" w:hint="default"/>
      </w:rPr>
    </w:lvl>
    <w:lvl w:ilvl="7" w:tplc="4DE01C6A">
      <w:start w:val="1"/>
      <w:numFmt w:val="bullet"/>
      <w:lvlText w:val="o"/>
      <w:lvlJc w:val="left"/>
      <w:pPr>
        <w:ind w:left="5760" w:hanging="360"/>
      </w:pPr>
      <w:rPr>
        <w:rFonts w:ascii="Courier New" w:hAnsi="Courier New" w:hint="default"/>
      </w:rPr>
    </w:lvl>
    <w:lvl w:ilvl="8" w:tplc="7AFCB542">
      <w:start w:val="1"/>
      <w:numFmt w:val="bullet"/>
      <w:lvlText w:val=""/>
      <w:lvlJc w:val="left"/>
      <w:pPr>
        <w:ind w:left="6480" w:hanging="360"/>
      </w:pPr>
      <w:rPr>
        <w:rFonts w:ascii="Wingdings" w:hAnsi="Wingdings" w:hint="default"/>
      </w:rPr>
    </w:lvl>
  </w:abstractNum>
  <w:abstractNum w:abstractNumId="25" w15:restartNumberingAfterBreak="0">
    <w:nsid w:val="737C1D19"/>
    <w:multiLevelType w:val="multilevel"/>
    <w:tmpl w:val="DEEC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095B2F"/>
    <w:multiLevelType w:val="hybridMultilevel"/>
    <w:tmpl w:val="1E76D7CE"/>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735B93"/>
    <w:multiLevelType w:val="hybridMultilevel"/>
    <w:tmpl w:val="B2B8A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E9452C1"/>
    <w:multiLevelType w:val="hybridMultilevel"/>
    <w:tmpl w:val="DC8A1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38653652">
    <w:abstractNumId w:val="10"/>
  </w:num>
  <w:num w:numId="2" w16cid:durableId="1362122897">
    <w:abstractNumId w:val="28"/>
  </w:num>
  <w:num w:numId="3" w16cid:durableId="43876314">
    <w:abstractNumId w:val="7"/>
  </w:num>
  <w:num w:numId="4" w16cid:durableId="1935475425">
    <w:abstractNumId w:val="4"/>
  </w:num>
  <w:num w:numId="5" w16cid:durableId="125900532">
    <w:abstractNumId w:val="17"/>
  </w:num>
  <w:num w:numId="6" w16cid:durableId="1608006626">
    <w:abstractNumId w:val="5"/>
  </w:num>
  <w:num w:numId="7" w16cid:durableId="1221788005">
    <w:abstractNumId w:val="11"/>
  </w:num>
  <w:num w:numId="8" w16cid:durableId="710954329">
    <w:abstractNumId w:val="1"/>
  </w:num>
  <w:num w:numId="9" w16cid:durableId="1081487473">
    <w:abstractNumId w:val="3"/>
  </w:num>
  <w:num w:numId="10" w16cid:durableId="364335295">
    <w:abstractNumId w:val="0"/>
  </w:num>
  <w:num w:numId="11" w16cid:durableId="288046845">
    <w:abstractNumId w:val="16"/>
  </w:num>
  <w:num w:numId="12" w16cid:durableId="371922582">
    <w:abstractNumId w:val="12"/>
  </w:num>
  <w:num w:numId="13" w16cid:durableId="1935046578">
    <w:abstractNumId w:val="20"/>
  </w:num>
  <w:num w:numId="14" w16cid:durableId="481698614">
    <w:abstractNumId w:val="18"/>
  </w:num>
  <w:num w:numId="15" w16cid:durableId="819034434">
    <w:abstractNumId w:val="2"/>
  </w:num>
  <w:num w:numId="16" w16cid:durableId="1008823697">
    <w:abstractNumId w:val="14"/>
  </w:num>
  <w:num w:numId="17" w16cid:durableId="25255172">
    <w:abstractNumId w:val="23"/>
  </w:num>
  <w:num w:numId="18" w16cid:durableId="1009873518">
    <w:abstractNumId w:val="6"/>
  </w:num>
  <w:num w:numId="19" w16cid:durableId="1022245762">
    <w:abstractNumId w:val="13"/>
  </w:num>
  <w:num w:numId="20" w16cid:durableId="2009478762">
    <w:abstractNumId w:val="15"/>
  </w:num>
  <w:num w:numId="21" w16cid:durableId="1310549483">
    <w:abstractNumId w:val="9"/>
  </w:num>
  <w:num w:numId="22" w16cid:durableId="1801410845">
    <w:abstractNumId w:val="27"/>
  </w:num>
  <w:num w:numId="23" w16cid:durableId="1958634706">
    <w:abstractNumId w:val="26"/>
  </w:num>
  <w:num w:numId="24" w16cid:durableId="23405551">
    <w:abstractNumId w:val="19"/>
  </w:num>
  <w:num w:numId="25" w16cid:durableId="427969465">
    <w:abstractNumId w:val="21"/>
  </w:num>
  <w:num w:numId="26" w16cid:durableId="2071801186">
    <w:abstractNumId w:val="22"/>
  </w:num>
  <w:num w:numId="27" w16cid:durableId="845289977">
    <w:abstractNumId w:val="25"/>
  </w:num>
  <w:num w:numId="28" w16cid:durableId="1468628261">
    <w:abstractNumId w:val="8"/>
  </w:num>
  <w:num w:numId="29" w16cid:durableId="77162760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medha Chatterjee">
    <w15:presenceInfo w15:providerId="AD" w15:userId="S::sumedha.chatterjee@i2econsulting.com::24c45387-e349-46c2-8ef1-da14d8aecd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C5"/>
    <w:rsid w:val="0000558B"/>
    <w:rsid w:val="000112EA"/>
    <w:rsid w:val="00017E6D"/>
    <w:rsid w:val="00024405"/>
    <w:rsid w:val="00035E24"/>
    <w:rsid w:val="00057DEA"/>
    <w:rsid w:val="000612B6"/>
    <w:rsid w:val="00071D6E"/>
    <w:rsid w:val="000739BA"/>
    <w:rsid w:val="000747EE"/>
    <w:rsid w:val="0008519E"/>
    <w:rsid w:val="000A04B3"/>
    <w:rsid w:val="000B5B59"/>
    <w:rsid w:val="000C03E2"/>
    <w:rsid w:val="000C206F"/>
    <w:rsid w:val="000D6B77"/>
    <w:rsid w:val="000E4C34"/>
    <w:rsid w:val="000E50F6"/>
    <w:rsid w:val="000F2524"/>
    <w:rsid w:val="0010010E"/>
    <w:rsid w:val="00101054"/>
    <w:rsid w:val="00110049"/>
    <w:rsid w:val="00112559"/>
    <w:rsid w:val="00116FC1"/>
    <w:rsid w:val="00123E50"/>
    <w:rsid w:val="00135739"/>
    <w:rsid w:val="001416EC"/>
    <w:rsid w:val="0014716D"/>
    <w:rsid w:val="001507D5"/>
    <w:rsid w:val="001513B9"/>
    <w:rsid w:val="00152BEF"/>
    <w:rsid w:val="001563ED"/>
    <w:rsid w:val="00162C96"/>
    <w:rsid w:val="00175063"/>
    <w:rsid w:val="00177DF7"/>
    <w:rsid w:val="001830E3"/>
    <w:rsid w:val="00186928"/>
    <w:rsid w:val="001A0F88"/>
    <w:rsid w:val="001A5702"/>
    <w:rsid w:val="001B06EE"/>
    <w:rsid w:val="001B0FBF"/>
    <w:rsid w:val="001C3137"/>
    <w:rsid w:val="001C4080"/>
    <w:rsid w:val="001E1643"/>
    <w:rsid w:val="001E3D75"/>
    <w:rsid w:val="001F55AF"/>
    <w:rsid w:val="001F63CA"/>
    <w:rsid w:val="001F6FE3"/>
    <w:rsid w:val="00205B90"/>
    <w:rsid w:val="00212840"/>
    <w:rsid w:val="00212A84"/>
    <w:rsid w:val="00231825"/>
    <w:rsid w:val="00231E07"/>
    <w:rsid w:val="00236086"/>
    <w:rsid w:val="00244421"/>
    <w:rsid w:val="00251F77"/>
    <w:rsid w:val="002537A6"/>
    <w:rsid w:val="0026714F"/>
    <w:rsid w:val="0027108F"/>
    <w:rsid w:val="0027454F"/>
    <w:rsid w:val="0027570D"/>
    <w:rsid w:val="00290FAE"/>
    <w:rsid w:val="002A5174"/>
    <w:rsid w:val="002A717F"/>
    <w:rsid w:val="002B1AC7"/>
    <w:rsid w:val="002B2B46"/>
    <w:rsid w:val="002C2767"/>
    <w:rsid w:val="002C7D50"/>
    <w:rsid w:val="002D0B32"/>
    <w:rsid w:val="002D2AC9"/>
    <w:rsid w:val="002E4E0F"/>
    <w:rsid w:val="002E5E53"/>
    <w:rsid w:val="002F091F"/>
    <w:rsid w:val="00310AC9"/>
    <w:rsid w:val="0031419F"/>
    <w:rsid w:val="00317794"/>
    <w:rsid w:val="0032087A"/>
    <w:rsid w:val="00320E7B"/>
    <w:rsid w:val="003308AC"/>
    <w:rsid w:val="00343F98"/>
    <w:rsid w:val="003472D5"/>
    <w:rsid w:val="00366053"/>
    <w:rsid w:val="0037647E"/>
    <w:rsid w:val="00385504"/>
    <w:rsid w:val="0039004A"/>
    <w:rsid w:val="0039010D"/>
    <w:rsid w:val="00393630"/>
    <w:rsid w:val="003A3FC7"/>
    <w:rsid w:val="003B0A1F"/>
    <w:rsid w:val="003B38E6"/>
    <w:rsid w:val="003CB789"/>
    <w:rsid w:val="003D0B37"/>
    <w:rsid w:val="003D2C33"/>
    <w:rsid w:val="003D53EF"/>
    <w:rsid w:val="003D57F9"/>
    <w:rsid w:val="003F5B6D"/>
    <w:rsid w:val="003F74A9"/>
    <w:rsid w:val="004064F4"/>
    <w:rsid w:val="00407533"/>
    <w:rsid w:val="00411A1A"/>
    <w:rsid w:val="00411EAE"/>
    <w:rsid w:val="00411FEC"/>
    <w:rsid w:val="00412FDB"/>
    <w:rsid w:val="0041614A"/>
    <w:rsid w:val="0041760E"/>
    <w:rsid w:val="00434C9E"/>
    <w:rsid w:val="00435A2E"/>
    <w:rsid w:val="00443548"/>
    <w:rsid w:val="00451077"/>
    <w:rsid w:val="004510AD"/>
    <w:rsid w:val="0045243C"/>
    <w:rsid w:val="00453C1B"/>
    <w:rsid w:val="004546CD"/>
    <w:rsid w:val="004667FC"/>
    <w:rsid w:val="004707BE"/>
    <w:rsid w:val="00473E6B"/>
    <w:rsid w:val="004753F2"/>
    <w:rsid w:val="00493507"/>
    <w:rsid w:val="004A647C"/>
    <w:rsid w:val="004C58F9"/>
    <w:rsid w:val="004D2346"/>
    <w:rsid w:val="004D6146"/>
    <w:rsid w:val="004E3B7B"/>
    <w:rsid w:val="004E78F1"/>
    <w:rsid w:val="004F0A01"/>
    <w:rsid w:val="004F2178"/>
    <w:rsid w:val="00501D5C"/>
    <w:rsid w:val="00510114"/>
    <w:rsid w:val="00510DB0"/>
    <w:rsid w:val="00511914"/>
    <w:rsid w:val="00512699"/>
    <w:rsid w:val="0052388A"/>
    <w:rsid w:val="005365F7"/>
    <w:rsid w:val="005431C1"/>
    <w:rsid w:val="0054431F"/>
    <w:rsid w:val="0054647F"/>
    <w:rsid w:val="00553A19"/>
    <w:rsid w:val="0055697C"/>
    <w:rsid w:val="00561DF3"/>
    <w:rsid w:val="00564AB5"/>
    <w:rsid w:val="00582E2C"/>
    <w:rsid w:val="00585B0E"/>
    <w:rsid w:val="00586BC5"/>
    <w:rsid w:val="00586DD2"/>
    <w:rsid w:val="005977E9"/>
    <w:rsid w:val="005B3199"/>
    <w:rsid w:val="005B795A"/>
    <w:rsid w:val="005C106D"/>
    <w:rsid w:val="005C2F13"/>
    <w:rsid w:val="005C5DAF"/>
    <w:rsid w:val="005D24E3"/>
    <w:rsid w:val="005D351D"/>
    <w:rsid w:val="005D4BD8"/>
    <w:rsid w:val="005D65A2"/>
    <w:rsid w:val="005E4104"/>
    <w:rsid w:val="005E6376"/>
    <w:rsid w:val="005F45E6"/>
    <w:rsid w:val="005F4D10"/>
    <w:rsid w:val="00604E21"/>
    <w:rsid w:val="0060658A"/>
    <w:rsid w:val="00621FCD"/>
    <w:rsid w:val="00622BDB"/>
    <w:rsid w:val="00623E99"/>
    <w:rsid w:val="0062D7BF"/>
    <w:rsid w:val="00634CCB"/>
    <w:rsid w:val="00634DED"/>
    <w:rsid w:val="006372C4"/>
    <w:rsid w:val="00637FD0"/>
    <w:rsid w:val="00664BE2"/>
    <w:rsid w:val="006769AC"/>
    <w:rsid w:val="006823D9"/>
    <w:rsid w:val="00683088"/>
    <w:rsid w:val="00686519"/>
    <w:rsid w:val="00692A2C"/>
    <w:rsid w:val="00693014"/>
    <w:rsid w:val="00695229"/>
    <w:rsid w:val="006B2E76"/>
    <w:rsid w:val="006C1727"/>
    <w:rsid w:val="006C38BE"/>
    <w:rsid w:val="006C434C"/>
    <w:rsid w:val="006C4AD5"/>
    <w:rsid w:val="006C623B"/>
    <w:rsid w:val="006C7756"/>
    <w:rsid w:val="006D4286"/>
    <w:rsid w:val="006E3F74"/>
    <w:rsid w:val="006E3FEB"/>
    <w:rsid w:val="006E7535"/>
    <w:rsid w:val="006F11A7"/>
    <w:rsid w:val="006F48EC"/>
    <w:rsid w:val="006F68A7"/>
    <w:rsid w:val="0070193F"/>
    <w:rsid w:val="00703AB1"/>
    <w:rsid w:val="00704418"/>
    <w:rsid w:val="00710A49"/>
    <w:rsid w:val="00715A9F"/>
    <w:rsid w:val="00721831"/>
    <w:rsid w:val="00723FB6"/>
    <w:rsid w:val="00740A79"/>
    <w:rsid w:val="00745BA2"/>
    <w:rsid w:val="0075342A"/>
    <w:rsid w:val="0076123B"/>
    <w:rsid w:val="007775D6"/>
    <w:rsid w:val="00781183"/>
    <w:rsid w:val="007939D2"/>
    <w:rsid w:val="00793EF1"/>
    <w:rsid w:val="00794DBC"/>
    <w:rsid w:val="00797227"/>
    <w:rsid w:val="00797E22"/>
    <w:rsid w:val="007A0A57"/>
    <w:rsid w:val="007A389C"/>
    <w:rsid w:val="007D3107"/>
    <w:rsid w:val="007D5E6E"/>
    <w:rsid w:val="007F07A5"/>
    <w:rsid w:val="007F42D7"/>
    <w:rsid w:val="00800C02"/>
    <w:rsid w:val="008055B7"/>
    <w:rsid w:val="00810C21"/>
    <w:rsid w:val="00811609"/>
    <w:rsid w:val="00816D33"/>
    <w:rsid w:val="0083748E"/>
    <w:rsid w:val="00854AB8"/>
    <w:rsid w:val="008565BD"/>
    <w:rsid w:val="008572A7"/>
    <w:rsid w:val="0086500B"/>
    <w:rsid w:val="00866767"/>
    <w:rsid w:val="008721F9"/>
    <w:rsid w:val="00873B49"/>
    <w:rsid w:val="00876DA2"/>
    <w:rsid w:val="00880437"/>
    <w:rsid w:val="00881125"/>
    <w:rsid w:val="008848F5"/>
    <w:rsid w:val="00884968"/>
    <w:rsid w:val="00894CD1"/>
    <w:rsid w:val="008B31D7"/>
    <w:rsid w:val="008B53C3"/>
    <w:rsid w:val="008D7618"/>
    <w:rsid w:val="008E01D6"/>
    <w:rsid w:val="008E47E7"/>
    <w:rsid w:val="008F5C86"/>
    <w:rsid w:val="008F7282"/>
    <w:rsid w:val="009014FA"/>
    <w:rsid w:val="0090212A"/>
    <w:rsid w:val="00912FB2"/>
    <w:rsid w:val="009306A9"/>
    <w:rsid w:val="00932628"/>
    <w:rsid w:val="0093669D"/>
    <w:rsid w:val="00945164"/>
    <w:rsid w:val="00945C03"/>
    <w:rsid w:val="009549EA"/>
    <w:rsid w:val="009564A6"/>
    <w:rsid w:val="009647DC"/>
    <w:rsid w:val="00967A3A"/>
    <w:rsid w:val="0097213C"/>
    <w:rsid w:val="00977741"/>
    <w:rsid w:val="009817CE"/>
    <w:rsid w:val="00986F8F"/>
    <w:rsid w:val="00993036"/>
    <w:rsid w:val="00996733"/>
    <w:rsid w:val="009975EE"/>
    <w:rsid w:val="009A130F"/>
    <w:rsid w:val="009A2BC2"/>
    <w:rsid w:val="009A2C1C"/>
    <w:rsid w:val="009A3389"/>
    <w:rsid w:val="009A6BFF"/>
    <w:rsid w:val="009B30A6"/>
    <w:rsid w:val="009C08BE"/>
    <w:rsid w:val="009C4C92"/>
    <w:rsid w:val="009C5108"/>
    <w:rsid w:val="009D5200"/>
    <w:rsid w:val="009D7597"/>
    <w:rsid w:val="009D7E29"/>
    <w:rsid w:val="009E65B6"/>
    <w:rsid w:val="00A01457"/>
    <w:rsid w:val="00A03A26"/>
    <w:rsid w:val="00A06C67"/>
    <w:rsid w:val="00A10003"/>
    <w:rsid w:val="00A12946"/>
    <w:rsid w:val="00A20BDA"/>
    <w:rsid w:val="00A20D75"/>
    <w:rsid w:val="00A34A7C"/>
    <w:rsid w:val="00A36612"/>
    <w:rsid w:val="00A40E2D"/>
    <w:rsid w:val="00A43C77"/>
    <w:rsid w:val="00A63353"/>
    <w:rsid w:val="00A63404"/>
    <w:rsid w:val="00A83D66"/>
    <w:rsid w:val="00A8450C"/>
    <w:rsid w:val="00A85353"/>
    <w:rsid w:val="00A96B12"/>
    <w:rsid w:val="00AA0A8A"/>
    <w:rsid w:val="00AA0E11"/>
    <w:rsid w:val="00AA6E30"/>
    <w:rsid w:val="00AB186F"/>
    <w:rsid w:val="00AC0CD2"/>
    <w:rsid w:val="00AD3A1B"/>
    <w:rsid w:val="00AD4B97"/>
    <w:rsid w:val="00AE22EB"/>
    <w:rsid w:val="00AF25D7"/>
    <w:rsid w:val="00AF35E9"/>
    <w:rsid w:val="00AF4B1D"/>
    <w:rsid w:val="00AF4FC8"/>
    <w:rsid w:val="00AF6983"/>
    <w:rsid w:val="00B0150F"/>
    <w:rsid w:val="00B06136"/>
    <w:rsid w:val="00B2297B"/>
    <w:rsid w:val="00B248D0"/>
    <w:rsid w:val="00B31F85"/>
    <w:rsid w:val="00B457ED"/>
    <w:rsid w:val="00B5567D"/>
    <w:rsid w:val="00B574A8"/>
    <w:rsid w:val="00B62EFF"/>
    <w:rsid w:val="00B723CB"/>
    <w:rsid w:val="00B77D2E"/>
    <w:rsid w:val="00B81904"/>
    <w:rsid w:val="00B85508"/>
    <w:rsid w:val="00B86C7E"/>
    <w:rsid w:val="00B86CD6"/>
    <w:rsid w:val="00BA0C85"/>
    <w:rsid w:val="00BA5972"/>
    <w:rsid w:val="00BB24DC"/>
    <w:rsid w:val="00BB285D"/>
    <w:rsid w:val="00BC5873"/>
    <w:rsid w:val="00BD0C2B"/>
    <w:rsid w:val="00BD55D8"/>
    <w:rsid w:val="00BD5C08"/>
    <w:rsid w:val="00BD6C2D"/>
    <w:rsid w:val="00BE110F"/>
    <w:rsid w:val="00BE2A46"/>
    <w:rsid w:val="00BE60BD"/>
    <w:rsid w:val="00BF3C4A"/>
    <w:rsid w:val="00C0072B"/>
    <w:rsid w:val="00C04511"/>
    <w:rsid w:val="00C0473A"/>
    <w:rsid w:val="00C10E64"/>
    <w:rsid w:val="00C110E3"/>
    <w:rsid w:val="00C1392E"/>
    <w:rsid w:val="00C2585C"/>
    <w:rsid w:val="00C33F6A"/>
    <w:rsid w:val="00C447FF"/>
    <w:rsid w:val="00C547FB"/>
    <w:rsid w:val="00C606C9"/>
    <w:rsid w:val="00C62E8B"/>
    <w:rsid w:val="00C71316"/>
    <w:rsid w:val="00C72723"/>
    <w:rsid w:val="00C72E1B"/>
    <w:rsid w:val="00C75850"/>
    <w:rsid w:val="00C84C2C"/>
    <w:rsid w:val="00C85E2C"/>
    <w:rsid w:val="00C93388"/>
    <w:rsid w:val="00C9519B"/>
    <w:rsid w:val="00C970A7"/>
    <w:rsid w:val="00CA42B3"/>
    <w:rsid w:val="00CA5CB2"/>
    <w:rsid w:val="00CA5E6F"/>
    <w:rsid w:val="00CB0411"/>
    <w:rsid w:val="00CB13D0"/>
    <w:rsid w:val="00CB1D21"/>
    <w:rsid w:val="00CB3AA3"/>
    <w:rsid w:val="00CB5E71"/>
    <w:rsid w:val="00CC4E72"/>
    <w:rsid w:val="00CD2E24"/>
    <w:rsid w:val="00CF68D7"/>
    <w:rsid w:val="00D034AD"/>
    <w:rsid w:val="00D038C1"/>
    <w:rsid w:val="00D03D30"/>
    <w:rsid w:val="00D069A1"/>
    <w:rsid w:val="00D11E89"/>
    <w:rsid w:val="00D1506F"/>
    <w:rsid w:val="00D20B82"/>
    <w:rsid w:val="00D31360"/>
    <w:rsid w:val="00D37831"/>
    <w:rsid w:val="00D429B4"/>
    <w:rsid w:val="00D45DFF"/>
    <w:rsid w:val="00D520FC"/>
    <w:rsid w:val="00D60C1D"/>
    <w:rsid w:val="00D62212"/>
    <w:rsid w:val="00D674C7"/>
    <w:rsid w:val="00D74FFA"/>
    <w:rsid w:val="00D76A49"/>
    <w:rsid w:val="00D819CB"/>
    <w:rsid w:val="00D94670"/>
    <w:rsid w:val="00DA0796"/>
    <w:rsid w:val="00DA230D"/>
    <w:rsid w:val="00DA7F7F"/>
    <w:rsid w:val="00DC79AD"/>
    <w:rsid w:val="00DD2026"/>
    <w:rsid w:val="00DD3C23"/>
    <w:rsid w:val="00DD631A"/>
    <w:rsid w:val="00DD760F"/>
    <w:rsid w:val="00DE62DA"/>
    <w:rsid w:val="00DE6300"/>
    <w:rsid w:val="00DF3602"/>
    <w:rsid w:val="00DF59E7"/>
    <w:rsid w:val="00E01B0B"/>
    <w:rsid w:val="00E051DB"/>
    <w:rsid w:val="00E2247F"/>
    <w:rsid w:val="00E2249D"/>
    <w:rsid w:val="00E27F6A"/>
    <w:rsid w:val="00E30ADD"/>
    <w:rsid w:val="00E419D0"/>
    <w:rsid w:val="00E41AED"/>
    <w:rsid w:val="00E43421"/>
    <w:rsid w:val="00E57794"/>
    <w:rsid w:val="00E60358"/>
    <w:rsid w:val="00E650EB"/>
    <w:rsid w:val="00E75B5C"/>
    <w:rsid w:val="00E86877"/>
    <w:rsid w:val="00E908F2"/>
    <w:rsid w:val="00EB1B55"/>
    <w:rsid w:val="00EB3090"/>
    <w:rsid w:val="00EB4FAA"/>
    <w:rsid w:val="00EB55F1"/>
    <w:rsid w:val="00ED4E91"/>
    <w:rsid w:val="00ED6BD2"/>
    <w:rsid w:val="00ED6C8F"/>
    <w:rsid w:val="00ED7476"/>
    <w:rsid w:val="00ED7FE0"/>
    <w:rsid w:val="00EE25F8"/>
    <w:rsid w:val="00EF4D5C"/>
    <w:rsid w:val="00EF5083"/>
    <w:rsid w:val="00EF6622"/>
    <w:rsid w:val="00F0310F"/>
    <w:rsid w:val="00F11381"/>
    <w:rsid w:val="00F124C4"/>
    <w:rsid w:val="00F17CAE"/>
    <w:rsid w:val="00F35074"/>
    <w:rsid w:val="00F402B8"/>
    <w:rsid w:val="00F416DE"/>
    <w:rsid w:val="00F574EA"/>
    <w:rsid w:val="00F708B0"/>
    <w:rsid w:val="00F721DC"/>
    <w:rsid w:val="00F73A1F"/>
    <w:rsid w:val="00F750E4"/>
    <w:rsid w:val="00F821F7"/>
    <w:rsid w:val="00F85FF8"/>
    <w:rsid w:val="00F9112C"/>
    <w:rsid w:val="00F94983"/>
    <w:rsid w:val="00FA04A1"/>
    <w:rsid w:val="00FB1843"/>
    <w:rsid w:val="00FC2910"/>
    <w:rsid w:val="00FE38C2"/>
    <w:rsid w:val="02957AB7"/>
    <w:rsid w:val="063D51CB"/>
    <w:rsid w:val="0961DADC"/>
    <w:rsid w:val="12C32FAC"/>
    <w:rsid w:val="1386FCB5"/>
    <w:rsid w:val="163021AE"/>
    <w:rsid w:val="16E644CF"/>
    <w:rsid w:val="176298B8"/>
    <w:rsid w:val="183875A1"/>
    <w:rsid w:val="19543A3D"/>
    <w:rsid w:val="1BD6C2D9"/>
    <w:rsid w:val="1C6CDC31"/>
    <w:rsid w:val="1D883ED6"/>
    <w:rsid w:val="1E03DC72"/>
    <w:rsid w:val="223AE44C"/>
    <w:rsid w:val="23A050E7"/>
    <w:rsid w:val="23F4CCAD"/>
    <w:rsid w:val="23FB93C8"/>
    <w:rsid w:val="25F8F818"/>
    <w:rsid w:val="2626A4FC"/>
    <w:rsid w:val="26B8F9C3"/>
    <w:rsid w:val="2759DE8F"/>
    <w:rsid w:val="2C3E2D9A"/>
    <w:rsid w:val="2C6A6885"/>
    <w:rsid w:val="2CAA7452"/>
    <w:rsid w:val="304D90CB"/>
    <w:rsid w:val="316C3257"/>
    <w:rsid w:val="3275385A"/>
    <w:rsid w:val="328685AF"/>
    <w:rsid w:val="364213FF"/>
    <w:rsid w:val="3BCE769B"/>
    <w:rsid w:val="3DB14F32"/>
    <w:rsid w:val="3FECAE9D"/>
    <w:rsid w:val="417CF28A"/>
    <w:rsid w:val="41885793"/>
    <w:rsid w:val="41E2002E"/>
    <w:rsid w:val="434D7EAA"/>
    <w:rsid w:val="44B4A5DE"/>
    <w:rsid w:val="47FBF5B0"/>
    <w:rsid w:val="4837E2DB"/>
    <w:rsid w:val="48FA6541"/>
    <w:rsid w:val="4A92DE17"/>
    <w:rsid w:val="4BD01947"/>
    <w:rsid w:val="4F9AD4A0"/>
    <w:rsid w:val="503E7EE2"/>
    <w:rsid w:val="52D0E10F"/>
    <w:rsid w:val="5809A3C4"/>
    <w:rsid w:val="591099CB"/>
    <w:rsid w:val="59293E59"/>
    <w:rsid w:val="5D948442"/>
    <w:rsid w:val="60DA0AB3"/>
    <w:rsid w:val="6107088E"/>
    <w:rsid w:val="61665E09"/>
    <w:rsid w:val="62A424B5"/>
    <w:rsid w:val="6409452B"/>
    <w:rsid w:val="643EA950"/>
    <w:rsid w:val="65681F47"/>
    <w:rsid w:val="65E101A9"/>
    <w:rsid w:val="67D67E57"/>
    <w:rsid w:val="68E9AF7D"/>
    <w:rsid w:val="692AEB09"/>
    <w:rsid w:val="6B00F56C"/>
    <w:rsid w:val="6B8D20D3"/>
    <w:rsid w:val="6BC35C6F"/>
    <w:rsid w:val="6D3E1D3B"/>
    <w:rsid w:val="6DEACB0E"/>
    <w:rsid w:val="6E8FC792"/>
    <w:rsid w:val="6EE73066"/>
    <w:rsid w:val="7043F5CB"/>
    <w:rsid w:val="721228E7"/>
    <w:rsid w:val="750168C9"/>
    <w:rsid w:val="77636178"/>
    <w:rsid w:val="77945F13"/>
    <w:rsid w:val="79BF10D4"/>
    <w:rsid w:val="79C2685F"/>
    <w:rsid w:val="7B3172CB"/>
    <w:rsid w:val="7B6B88F1"/>
    <w:rsid w:val="7C6791F2"/>
    <w:rsid w:val="7CBE261C"/>
    <w:rsid w:val="7F15E975"/>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1BD0"/>
  <w15:docId w15:val="{389F01C2-1F09-4463-8E00-819CDB46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0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E8687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B12"/>
    <w:pPr>
      <w:ind w:left="720"/>
      <w:contextualSpacing/>
    </w:pPr>
  </w:style>
  <w:style w:type="paragraph" w:customStyle="1" w:styleId="paragraph">
    <w:name w:val="paragraph"/>
    <w:basedOn w:val="Normal"/>
    <w:rsid w:val="00A96B1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normaltextrun">
    <w:name w:val="normaltextrun"/>
    <w:basedOn w:val="DefaultParagraphFont"/>
    <w:rsid w:val="00A96B12"/>
  </w:style>
  <w:style w:type="character" w:styleId="Hyperlink">
    <w:name w:val="Hyperlink"/>
    <w:basedOn w:val="DefaultParagraphFont"/>
    <w:uiPriority w:val="99"/>
    <w:unhideWhenUsed/>
    <w:rsid w:val="00816D33"/>
    <w:rPr>
      <w:color w:val="0563C1" w:themeColor="hyperlink"/>
      <w:u w:val="single"/>
    </w:rPr>
  </w:style>
  <w:style w:type="character" w:styleId="UnresolvedMention">
    <w:name w:val="Unresolved Mention"/>
    <w:basedOn w:val="DefaultParagraphFont"/>
    <w:uiPriority w:val="99"/>
    <w:semiHidden/>
    <w:unhideWhenUsed/>
    <w:rsid w:val="00816D33"/>
    <w:rPr>
      <w:color w:val="605E5C"/>
      <w:shd w:val="clear" w:color="auto" w:fill="E1DFDD"/>
    </w:rPr>
  </w:style>
  <w:style w:type="paragraph" w:styleId="NormalWeb">
    <w:name w:val="Normal (Web)"/>
    <w:basedOn w:val="Normal"/>
    <w:uiPriority w:val="99"/>
    <w:semiHidden/>
    <w:unhideWhenUsed/>
    <w:rsid w:val="00794DB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057DEA"/>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057DEA"/>
    <w:rPr>
      <w:rFonts w:ascii="Arial" w:eastAsia="Times New Roman" w:hAnsi="Arial" w:cs="Arial"/>
      <w:vanish/>
      <w:kern w:val="0"/>
      <w:sz w:val="16"/>
      <w:szCs w:val="16"/>
      <w:lang w:eastAsia="en-IN"/>
      <w14:ligatures w14:val="none"/>
    </w:rPr>
  </w:style>
  <w:style w:type="character" w:customStyle="1" w:styleId="Heading4Char">
    <w:name w:val="Heading 4 Char"/>
    <w:basedOn w:val="DefaultParagraphFont"/>
    <w:link w:val="Heading4"/>
    <w:uiPriority w:val="9"/>
    <w:rsid w:val="00E86877"/>
    <w:rPr>
      <w:rFonts w:ascii="Times New Roman" w:eastAsia="Times New Roman" w:hAnsi="Times New Roman" w:cs="Times New Roman"/>
      <w:b/>
      <w:bCs/>
      <w:kern w:val="0"/>
      <w:sz w:val="24"/>
      <w:szCs w:val="24"/>
      <w:lang w:eastAsia="en-IN"/>
      <w14:ligatures w14:val="none"/>
    </w:rPr>
  </w:style>
  <w:style w:type="character" w:styleId="Strong">
    <w:name w:val="Strong"/>
    <w:basedOn w:val="DefaultParagraphFont"/>
    <w:uiPriority w:val="22"/>
    <w:qFormat/>
    <w:rsid w:val="00E86877"/>
    <w:rPr>
      <w:b/>
      <w:bCs/>
    </w:rPr>
  </w:style>
  <w:style w:type="character" w:customStyle="1" w:styleId="cmp-textparagraph-default">
    <w:name w:val="cmp-text__paragraph-default"/>
    <w:basedOn w:val="DefaultParagraphFont"/>
    <w:rsid w:val="001513B9"/>
  </w:style>
  <w:style w:type="character" w:customStyle="1" w:styleId="Heading2Char">
    <w:name w:val="Heading 2 Char"/>
    <w:basedOn w:val="DefaultParagraphFont"/>
    <w:link w:val="Heading2"/>
    <w:uiPriority w:val="9"/>
    <w:semiHidden/>
    <w:rsid w:val="00C0451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E4104"/>
    <w:rPr>
      <w:sz w:val="16"/>
      <w:szCs w:val="16"/>
    </w:rPr>
  </w:style>
  <w:style w:type="paragraph" w:styleId="CommentText">
    <w:name w:val="annotation text"/>
    <w:basedOn w:val="Normal"/>
    <w:link w:val="CommentTextChar"/>
    <w:uiPriority w:val="99"/>
    <w:unhideWhenUsed/>
    <w:rsid w:val="005E4104"/>
    <w:pPr>
      <w:spacing w:line="240" w:lineRule="auto"/>
    </w:pPr>
    <w:rPr>
      <w:sz w:val="20"/>
      <w:szCs w:val="20"/>
    </w:rPr>
  </w:style>
  <w:style w:type="character" w:customStyle="1" w:styleId="CommentTextChar">
    <w:name w:val="Comment Text Char"/>
    <w:basedOn w:val="DefaultParagraphFont"/>
    <w:link w:val="CommentText"/>
    <w:uiPriority w:val="99"/>
    <w:rsid w:val="005E4104"/>
    <w:rPr>
      <w:sz w:val="20"/>
      <w:szCs w:val="20"/>
    </w:rPr>
  </w:style>
  <w:style w:type="paragraph" w:styleId="CommentSubject">
    <w:name w:val="annotation subject"/>
    <w:basedOn w:val="CommentText"/>
    <w:next w:val="CommentText"/>
    <w:link w:val="CommentSubjectChar"/>
    <w:uiPriority w:val="99"/>
    <w:semiHidden/>
    <w:unhideWhenUsed/>
    <w:rsid w:val="005E4104"/>
    <w:rPr>
      <w:b/>
      <w:bCs/>
    </w:rPr>
  </w:style>
  <w:style w:type="character" w:customStyle="1" w:styleId="CommentSubjectChar">
    <w:name w:val="Comment Subject Char"/>
    <w:basedOn w:val="CommentTextChar"/>
    <w:link w:val="CommentSubject"/>
    <w:uiPriority w:val="99"/>
    <w:semiHidden/>
    <w:rsid w:val="005E4104"/>
    <w:rPr>
      <w:b/>
      <w:bCs/>
      <w:sz w:val="20"/>
      <w:szCs w:val="20"/>
    </w:rPr>
  </w:style>
  <w:style w:type="character" w:customStyle="1" w:styleId="eop">
    <w:name w:val="eop"/>
    <w:basedOn w:val="DefaultParagraphFont"/>
    <w:rsid w:val="005F45E6"/>
  </w:style>
  <w:style w:type="character" w:customStyle="1" w:styleId="ui-provider">
    <w:name w:val="ui-provider"/>
    <w:basedOn w:val="DefaultParagraphFont"/>
    <w:rsid w:val="00993036"/>
  </w:style>
  <w:style w:type="character" w:styleId="Emphasis">
    <w:name w:val="Emphasis"/>
    <w:basedOn w:val="DefaultParagraphFont"/>
    <w:uiPriority w:val="20"/>
    <w:qFormat/>
    <w:rsid w:val="009C51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4112">
      <w:bodyDiv w:val="1"/>
      <w:marLeft w:val="0"/>
      <w:marRight w:val="0"/>
      <w:marTop w:val="0"/>
      <w:marBottom w:val="0"/>
      <w:divBdr>
        <w:top w:val="none" w:sz="0" w:space="0" w:color="auto"/>
        <w:left w:val="none" w:sz="0" w:space="0" w:color="auto"/>
        <w:bottom w:val="none" w:sz="0" w:space="0" w:color="auto"/>
        <w:right w:val="none" w:sz="0" w:space="0" w:color="auto"/>
      </w:divBdr>
    </w:div>
    <w:div w:id="220095354">
      <w:bodyDiv w:val="1"/>
      <w:marLeft w:val="0"/>
      <w:marRight w:val="0"/>
      <w:marTop w:val="0"/>
      <w:marBottom w:val="0"/>
      <w:divBdr>
        <w:top w:val="none" w:sz="0" w:space="0" w:color="auto"/>
        <w:left w:val="none" w:sz="0" w:space="0" w:color="auto"/>
        <w:bottom w:val="none" w:sz="0" w:space="0" w:color="auto"/>
        <w:right w:val="none" w:sz="0" w:space="0" w:color="auto"/>
      </w:divBdr>
    </w:div>
    <w:div w:id="297340179">
      <w:bodyDiv w:val="1"/>
      <w:marLeft w:val="0"/>
      <w:marRight w:val="0"/>
      <w:marTop w:val="0"/>
      <w:marBottom w:val="0"/>
      <w:divBdr>
        <w:top w:val="none" w:sz="0" w:space="0" w:color="auto"/>
        <w:left w:val="none" w:sz="0" w:space="0" w:color="auto"/>
        <w:bottom w:val="none" w:sz="0" w:space="0" w:color="auto"/>
        <w:right w:val="none" w:sz="0" w:space="0" w:color="auto"/>
      </w:divBdr>
    </w:div>
    <w:div w:id="358359675">
      <w:bodyDiv w:val="1"/>
      <w:marLeft w:val="0"/>
      <w:marRight w:val="0"/>
      <w:marTop w:val="0"/>
      <w:marBottom w:val="0"/>
      <w:divBdr>
        <w:top w:val="none" w:sz="0" w:space="0" w:color="auto"/>
        <w:left w:val="none" w:sz="0" w:space="0" w:color="auto"/>
        <w:bottom w:val="none" w:sz="0" w:space="0" w:color="auto"/>
        <w:right w:val="none" w:sz="0" w:space="0" w:color="auto"/>
      </w:divBdr>
    </w:div>
    <w:div w:id="373845143">
      <w:bodyDiv w:val="1"/>
      <w:marLeft w:val="0"/>
      <w:marRight w:val="0"/>
      <w:marTop w:val="0"/>
      <w:marBottom w:val="0"/>
      <w:divBdr>
        <w:top w:val="none" w:sz="0" w:space="0" w:color="auto"/>
        <w:left w:val="none" w:sz="0" w:space="0" w:color="auto"/>
        <w:bottom w:val="none" w:sz="0" w:space="0" w:color="auto"/>
        <w:right w:val="none" w:sz="0" w:space="0" w:color="auto"/>
      </w:divBdr>
    </w:div>
    <w:div w:id="393043834">
      <w:bodyDiv w:val="1"/>
      <w:marLeft w:val="0"/>
      <w:marRight w:val="0"/>
      <w:marTop w:val="0"/>
      <w:marBottom w:val="0"/>
      <w:divBdr>
        <w:top w:val="none" w:sz="0" w:space="0" w:color="auto"/>
        <w:left w:val="none" w:sz="0" w:space="0" w:color="auto"/>
        <w:bottom w:val="none" w:sz="0" w:space="0" w:color="auto"/>
        <w:right w:val="none" w:sz="0" w:space="0" w:color="auto"/>
      </w:divBdr>
    </w:div>
    <w:div w:id="397020737">
      <w:bodyDiv w:val="1"/>
      <w:marLeft w:val="0"/>
      <w:marRight w:val="0"/>
      <w:marTop w:val="0"/>
      <w:marBottom w:val="0"/>
      <w:divBdr>
        <w:top w:val="none" w:sz="0" w:space="0" w:color="auto"/>
        <w:left w:val="none" w:sz="0" w:space="0" w:color="auto"/>
        <w:bottom w:val="none" w:sz="0" w:space="0" w:color="auto"/>
        <w:right w:val="none" w:sz="0" w:space="0" w:color="auto"/>
      </w:divBdr>
    </w:div>
    <w:div w:id="415320455">
      <w:bodyDiv w:val="1"/>
      <w:marLeft w:val="0"/>
      <w:marRight w:val="0"/>
      <w:marTop w:val="0"/>
      <w:marBottom w:val="0"/>
      <w:divBdr>
        <w:top w:val="none" w:sz="0" w:space="0" w:color="auto"/>
        <w:left w:val="none" w:sz="0" w:space="0" w:color="auto"/>
        <w:bottom w:val="none" w:sz="0" w:space="0" w:color="auto"/>
        <w:right w:val="none" w:sz="0" w:space="0" w:color="auto"/>
      </w:divBdr>
    </w:div>
    <w:div w:id="427389595">
      <w:bodyDiv w:val="1"/>
      <w:marLeft w:val="0"/>
      <w:marRight w:val="0"/>
      <w:marTop w:val="0"/>
      <w:marBottom w:val="0"/>
      <w:divBdr>
        <w:top w:val="none" w:sz="0" w:space="0" w:color="auto"/>
        <w:left w:val="none" w:sz="0" w:space="0" w:color="auto"/>
        <w:bottom w:val="none" w:sz="0" w:space="0" w:color="auto"/>
        <w:right w:val="none" w:sz="0" w:space="0" w:color="auto"/>
      </w:divBdr>
    </w:div>
    <w:div w:id="546918558">
      <w:bodyDiv w:val="1"/>
      <w:marLeft w:val="0"/>
      <w:marRight w:val="0"/>
      <w:marTop w:val="0"/>
      <w:marBottom w:val="0"/>
      <w:divBdr>
        <w:top w:val="none" w:sz="0" w:space="0" w:color="auto"/>
        <w:left w:val="none" w:sz="0" w:space="0" w:color="auto"/>
        <w:bottom w:val="none" w:sz="0" w:space="0" w:color="auto"/>
        <w:right w:val="none" w:sz="0" w:space="0" w:color="auto"/>
      </w:divBdr>
    </w:div>
    <w:div w:id="766853639">
      <w:bodyDiv w:val="1"/>
      <w:marLeft w:val="0"/>
      <w:marRight w:val="0"/>
      <w:marTop w:val="0"/>
      <w:marBottom w:val="0"/>
      <w:divBdr>
        <w:top w:val="none" w:sz="0" w:space="0" w:color="auto"/>
        <w:left w:val="none" w:sz="0" w:space="0" w:color="auto"/>
        <w:bottom w:val="none" w:sz="0" w:space="0" w:color="auto"/>
        <w:right w:val="none" w:sz="0" w:space="0" w:color="auto"/>
      </w:divBdr>
    </w:div>
    <w:div w:id="781192186">
      <w:bodyDiv w:val="1"/>
      <w:marLeft w:val="0"/>
      <w:marRight w:val="0"/>
      <w:marTop w:val="0"/>
      <w:marBottom w:val="0"/>
      <w:divBdr>
        <w:top w:val="none" w:sz="0" w:space="0" w:color="auto"/>
        <w:left w:val="none" w:sz="0" w:space="0" w:color="auto"/>
        <w:bottom w:val="none" w:sz="0" w:space="0" w:color="auto"/>
        <w:right w:val="none" w:sz="0" w:space="0" w:color="auto"/>
      </w:divBdr>
    </w:div>
    <w:div w:id="896865330">
      <w:bodyDiv w:val="1"/>
      <w:marLeft w:val="0"/>
      <w:marRight w:val="0"/>
      <w:marTop w:val="0"/>
      <w:marBottom w:val="0"/>
      <w:divBdr>
        <w:top w:val="none" w:sz="0" w:space="0" w:color="auto"/>
        <w:left w:val="none" w:sz="0" w:space="0" w:color="auto"/>
        <w:bottom w:val="none" w:sz="0" w:space="0" w:color="auto"/>
        <w:right w:val="none" w:sz="0" w:space="0" w:color="auto"/>
      </w:divBdr>
      <w:divsChild>
        <w:div w:id="854877519">
          <w:marLeft w:val="0"/>
          <w:marRight w:val="0"/>
          <w:marTop w:val="0"/>
          <w:marBottom w:val="0"/>
          <w:divBdr>
            <w:top w:val="none" w:sz="0" w:space="0" w:color="auto"/>
            <w:left w:val="none" w:sz="0" w:space="0" w:color="auto"/>
            <w:bottom w:val="none" w:sz="0" w:space="0" w:color="auto"/>
            <w:right w:val="none" w:sz="0" w:space="0" w:color="auto"/>
          </w:divBdr>
        </w:div>
        <w:div w:id="1035039437">
          <w:marLeft w:val="0"/>
          <w:marRight w:val="0"/>
          <w:marTop w:val="0"/>
          <w:marBottom w:val="0"/>
          <w:divBdr>
            <w:top w:val="single" w:sz="2" w:space="0" w:color="D9D9E3"/>
            <w:left w:val="single" w:sz="2" w:space="0" w:color="D9D9E3"/>
            <w:bottom w:val="single" w:sz="2" w:space="0" w:color="D9D9E3"/>
            <w:right w:val="single" w:sz="2" w:space="0" w:color="D9D9E3"/>
          </w:divBdr>
          <w:divsChild>
            <w:div w:id="1115099282">
              <w:marLeft w:val="0"/>
              <w:marRight w:val="0"/>
              <w:marTop w:val="0"/>
              <w:marBottom w:val="0"/>
              <w:divBdr>
                <w:top w:val="single" w:sz="2" w:space="0" w:color="D9D9E3"/>
                <w:left w:val="single" w:sz="2" w:space="0" w:color="D9D9E3"/>
                <w:bottom w:val="single" w:sz="2" w:space="0" w:color="D9D9E3"/>
                <w:right w:val="single" w:sz="2" w:space="0" w:color="D9D9E3"/>
              </w:divBdr>
              <w:divsChild>
                <w:div w:id="1414935948">
                  <w:marLeft w:val="0"/>
                  <w:marRight w:val="0"/>
                  <w:marTop w:val="0"/>
                  <w:marBottom w:val="0"/>
                  <w:divBdr>
                    <w:top w:val="single" w:sz="2" w:space="0" w:color="D9D9E3"/>
                    <w:left w:val="single" w:sz="2" w:space="0" w:color="D9D9E3"/>
                    <w:bottom w:val="single" w:sz="2" w:space="0" w:color="D9D9E3"/>
                    <w:right w:val="single" w:sz="2" w:space="0" w:color="D9D9E3"/>
                  </w:divBdr>
                  <w:divsChild>
                    <w:div w:id="800919742">
                      <w:marLeft w:val="0"/>
                      <w:marRight w:val="0"/>
                      <w:marTop w:val="0"/>
                      <w:marBottom w:val="0"/>
                      <w:divBdr>
                        <w:top w:val="single" w:sz="2" w:space="0" w:color="D9D9E3"/>
                        <w:left w:val="single" w:sz="2" w:space="0" w:color="D9D9E3"/>
                        <w:bottom w:val="single" w:sz="2" w:space="0" w:color="D9D9E3"/>
                        <w:right w:val="single" w:sz="2" w:space="0" w:color="D9D9E3"/>
                      </w:divBdr>
                      <w:divsChild>
                        <w:div w:id="778600231">
                          <w:marLeft w:val="0"/>
                          <w:marRight w:val="0"/>
                          <w:marTop w:val="0"/>
                          <w:marBottom w:val="0"/>
                          <w:divBdr>
                            <w:top w:val="none" w:sz="0" w:space="0" w:color="auto"/>
                            <w:left w:val="none" w:sz="0" w:space="0" w:color="auto"/>
                            <w:bottom w:val="none" w:sz="0" w:space="0" w:color="auto"/>
                            <w:right w:val="none" w:sz="0" w:space="0" w:color="auto"/>
                          </w:divBdr>
                          <w:divsChild>
                            <w:div w:id="1758162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751077249">
                                  <w:marLeft w:val="0"/>
                                  <w:marRight w:val="0"/>
                                  <w:marTop w:val="0"/>
                                  <w:marBottom w:val="0"/>
                                  <w:divBdr>
                                    <w:top w:val="single" w:sz="2" w:space="0" w:color="D9D9E3"/>
                                    <w:left w:val="single" w:sz="2" w:space="0" w:color="D9D9E3"/>
                                    <w:bottom w:val="single" w:sz="2" w:space="0" w:color="D9D9E3"/>
                                    <w:right w:val="single" w:sz="2" w:space="0" w:color="D9D9E3"/>
                                  </w:divBdr>
                                  <w:divsChild>
                                    <w:div w:id="1962880206">
                                      <w:marLeft w:val="0"/>
                                      <w:marRight w:val="0"/>
                                      <w:marTop w:val="0"/>
                                      <w:marBottom w:val="0"/>
                                      <w:divBdr>
                                        <w:top w:val="single" w:sz="2" w:space="0" w:color="D9D9E3"/>
                                        <w:left w:val="single" w:sz="2" w:space="0" w:color="D9D9E3"/>
                                        <w:bottom w:val="single" w:sz="2" w:space="0" w:color="D9D9E3"/>
                                        <w:right w:val="single" w:sz="2" w:space="0" w:color="D9D9E3"/>
                                      </w:divBdr>
                                      <w:divsChild>
                                        <w:div w:id="182980322">
                                          <w:marLeft w:val="0"/>
                                          <w:marRight w:val="0"/>
                                          <w:marTop w:val="0"/>
                                          <w:marBottom w:val="0"/>
                                          <w:divBdr>
                                            <w:top w:val="single" w:sz="2" w:space="0" w:color="D9D9E3"/>
                                            <w:left w:val="single" w:sz="2" w:space="0" w:color="D9D9E3"/>
                                            <w:bottom w:val="single" w:sz="2" w:space="0" w:color="D9D9E3"/>
                                            <w:right w:val="single" w:sz="2" w:space="0" w:color="D9D9E3"/>
                                          </w:divBdr>
                                          <w:divsChild>
                                            <w:div w:id="1899973644">
                                              <w:marLeft w:val="0"/>
                                              <w:marRight w:val="0"/>
                                              <w:marTop w:val="0"/>
                                              <w:marBottom w:val="0"/>
                                              <w:divBdr>
                                                <w:top w:val="single" w:sz="2" w:space="0" w:color="D9D9E3"/>
                                                <w:left w:val="single" w:sz="2" w:space="0" w:color="D9D9E3"/>
                                                <w:bottom w:val="single" w:sz="2" w:space="0" w:color="D9D9E3"/>
                                                <w:right w:val="single" w:sz="2" w:space="0" w:color="D9D9E3"/>
                                              </w:divBdr>
                                              <w:divsChild>
                                                <w:div w:id="1440485276">
                                                  <w:marLeft w:val="0"/>
                                                  <w:marRight w:val="0"/>
                                                  <w:marTop w:val="0"/>
                                                  <w:marBottom w:val="0"/>
                                                  <w:divBdr>
                                                    <w:top w:val="single" w:sz="2" w:space="0" w:color="D9D9E3"/>
                                                    <w:left w:val="single" w:sz="2" w:space="0" w:color="D9D9E3"/>
                                                    <w:bottom w:val="single" w:sz="2" w:space="0" w:color="D9D9E3"/>
                                                    <w:right w:val="single" w:sz="2" w:space="0" w:color="D9D9E3"/>
                                                  </w:divBdr>
                                                  <w:divsChild>
                                                    <w:div w:id="1486505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929851028">
      <w:bodyDiv w:val="1"/>
      <w:marLeft w:val="0"/>
      <w:marRight w:val="0"/>
      <w:marTop w:val="0"/>
      <w:marBottom w:val="0"/>
      <w:divBdr>
        <w:top w:val="none" w:sz="0" w:space="0" w:color="auto"/>
        <w:left w:val="none" w:sz="0" w:space="0" w:color="auto"/>
        <w:bottom w:val="none" w:sz="0" w:space="0" w:color="auto"/>
        <w:right w:val="none" w:sz="0" w:space="0" w:color="auto"/>
      </w:divBdr>
    </w:div>
    <w:div w:id="965700893">
      <w:bodyDiv w:val="1"/>
      <w:marLeft w:val="0"/>
      <w:marRight w:val="0"/>
      <w:marTop w:val="0"/>
      <w:marBottom w:val="0"/>
      <w:divBdr>
        <w:top w:val="none" w:sz="0" w:space="0" w:color="auto"/>
        <w:left w:val="none" w:sz="0" w:space="0" w:color="auto"/>
        <w:bottom w:val="none" w:sz="0" w:space="0" w:color="auto"/>
        <w:right w:val="none" w:sz="0" w:space="0" w:color="auto"/>
      </w:divBdr>
    </w:div>
    <w:div w:id="992871091">
      <w:bodyDiv w:val="1"/>
      <w:marLeft w:val="0"/>
      <w:marRight w:val="0"/>
      <w:marTop w:val="0"/>
      <w:marBottom w:val="0"/>
      <w:divBdr>
        <w:top w:val="none" w:sz="0" w:space="0" w:color="auto"/>
        <w:left w:val="none" w:sz="0" w:space="0" w:color="auto"/>
        <w:bottom w:val="none" w:sz="0" w:space="0" w:color="auto"/>
        <w:right w:val="none" w:sz="0" w:space="0" w:color="auto"/>
      </w:divBdr>
      <w:divsChild>
        <w:div w:id="1790128954">
          <w:marLeft w:val="0"/>
          <w:marRight w:val="0"/>
          <w:marTop w:val="0"/>
          <w:marBottom w:val="0"/>
          <w:divBdr>
            <w:top w:val="none" w:sz="0" w:space="0" w:color="auto"/>
            <w:left w:val="none" w:sz="0" w:space="0" w:color="auto"/>
            <w:bottom w:val="none" w:sz="0" w:space="0" w:color="auto"/>
            <w:right w:val="none" w:sz="0" w:space="0" w:color="auto"/>
          </w:divBdr>
          <w:divsChild>
            <w:div w:id="1673606611">
              <w:marLeft w:val="0"/>
              <w:marRight w:val="0"/>
              <w:marTop w:val="0"/>
              <w:marBottom w:val="0"/>
              <w:divBdr>
                <w:top w:val="none" w:sz="0" w:space="0" w:color="auto"/>
                <w:left w:val="none" w:sz="0" w:space="0" w:color="auto"/>
                <w:bottom w:val="none" w:sz="0" w:space="0" w:color="auto"/>
                <w:right w:val="none" w:sz="0" w:space="0" w:color="auto"/>
              </w:divBdr>
              <w:divsChild>
                <w:div w:id="2080983958">
                  <w:marLeft w:val="0"/>
                  <w:marRight w:val="0"/>
                  <w:marTop w:val="0"/>
                  <w:marBottom w:val="0"/>
                  <w:divBdr>
                    <w:top w:val="none" w:sz="0" w:space="0" w:color="auto"/>
                    <w:left w:val="single" w:sz="6" w:space="11" w:color="C2C2C2"/>
                    <w:bottom w:val="none" w:sz="0" w:space="0" w:color="auto"/>
                    <w:right w:val="none" w:sz="0" w:space="0" w:color="auto"/>
                  </w:divBdr>
                  <w:divsChild>
                    <w:div w:id="499154646">
                      <w:marLeft w:val="0"/>
                      <w:marRight w:val="0"/>
                      <w:marTop w:val="0"/>
                      <w:marBottom w:val="0"/>
                      <w:divBdr>
                        <w:top w:val="none" w:sz="0" w:space="0" w:color="auto"/>
                        <w:left w:val="none" w:sz="0" w:space="0" w:color="auto"/>
                        <w:bottom w:val="none" w:sz="0" w:space="0" w:color="auto"/>
                        <w:right w:val="none" w:sz="0" w:space="0" w:color="auto"/>
                      </w:divBdr>
                      <w:divsChild>
                        <w:div w:id="14338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801194">
      <w:bodyDiv w:val="1"/>
      <w:marLeft w:val="0"/>
      <w:marRight w:val="0"/>
      <w:marTop w:val="0"/>
      <w:marBottom w:val="0"/>
      <w:divBdr>
        <w:top w:val="none" w:sz="0" w:space="0" w:color="auto"/>
        <w:left w:val="none" w:sz="0" w:space="0" w:color="auto"/>
        <w:bottom w:val="none" w:sz="0" w:space="0" w:color="auto"/>
        <w:right w:val="none" w:sz="0" w:space="0" w:color="auto"/>
      </w:divBdr>
    </w:div>
    <w:div w:id="1114204757">
      <w:bodyDiv w:val="1"/>
      <w:marLeft w:val="0"/>
      <w:marRight w:val="0"/>
      <w:marTop w:val="0"/>
      <w:marBottom w:val="0"/>
      <w:divBdr>
        <w:top w:val="none" w:sz="0" w:space="0" w:color="auto"/>
        <w:left w:val="none" w:sz="0" w:space="0" w:color="auto"/>
        <w:bottom w:val="none" w:sz="0" w:space="0" w:color="auto"/>
        <w:right w:val="none" w:sz="0" w:space="0" w:color="auto"/>
      </w:divBdr>
    </w:div>
    <w:div w:id="1173033494">
      <w:bodyDiv w:val="1"/>
      <w:marLeft w:val="0"/>
      <w:marRight w:val="0"/>
      <w:marTop w:val="0"/>
      <w:marBottom w:val="0"/>
      <w:divBdr>
        <w:top w:val="none" w:sz="0" w:space="0" w:color="auto"/>
        <w:left w:val="none" w:sz="0" w:space="0" w:color="auto"/>
        <w:bottom w:val="none" w:sz="0" w:space="0" w:color="auto"/>
        <w:right w:val="none" w:sz="0" w:space="0" w:color="auto"/>
      </w:divBdr>
    </w:div>
    <w:div w:id="1187716322">
      <w:bodyDiv w:val="1"/>
      <w:marLeft w:val="0"/>
      <w:marRight w:val="0"/>
      <w:marTop w:val="0"/>
      <w:marBottom w:val="0"/>
      <w:divBdr>
        <w:top w:val="none" w:sz="0" w:space="0" w:color="auto"/>
        <w:left w:val="none" w:sz="0" w:space="0" w:color="auto"/>
        <w:bottom w:val="none" w:sz="0" w:space="0" w:color="auto"/>
        <w:right w:val="none" w:sz="0" w:space="0" w:color="auto"/>
      </w:divBdr>
    </w:div>
    <w:div w:id="1232929416">
      <w:bodyDiv w:val="1"/>
      <w:marLeft w:val="0"/>
      <w:marRight w:val="0"/>
      <w:marTop w:val="0"/>
      <w:marBottom w:val="0"/>
      <w:divBdr>
        <w:top w:val="none" w:sz="0" w:space="0" w:color="auto"/>
        <w:left w:val="none" w:sz="0" w:space="0" w:color="auto"/>
        <w:bottom w:val="none" w:sz="0" w:space="0" w:color="auto"/>
        <w:right w:val="none" w:sz="0" w:space="0" w:color="auto"/>
      </w:divBdr>
    </w:div>
    <w:div w:id="1274747012">
      <w:bodyDiv w:val="1"/>
      <w:marLeft w:val="0"/>
      <w:marRight w:val="0"/>
      <w:marTop w:val="0"/>
      <w:marBottom w:val="0"/>
      <w:divBdr>
        <w:top w:val="none" w:sz="0" w:space="0" w:color="auto"/>
        <w:left w:val="none" w:sz="0" w:space="0" w:color="auto"/>
        <w:bottom w:val="none" w:sz="0" w:space="0" w:color="auto"/>
        <w:right w:val="none" w:sz="0" w:space="0" w:color="auto"/>
      </w:divBdr>
    </w:div>
    <w:div w:id="1316572142">
      <w:bodyDiv w:val="1"/>
      <w:marLeft w:val="0"/>
      <w:marRight w:val="0"/>
      <w:marTop w:val="0"/>
      <w:marBottom w:val="0"/>
      <w:divBdr>
        <w:top w:val="none" w:sz="0" w:space="0" w:color="auto"/>
        <w:left w:val="none" w:sz="0" w:space="0" w:color="auto"/>
        <w:bottom w:val="none" w:sz="0" w:space="0" w:color="auto"/>
        <w:right w:val="none" w:sz="0" w:space="0" w:color="auto"/>
      </w:divBdr>
    </w:div>
    <w:div w:id="1333530077">
      <w:bodyDiv w:val="1"/>
      <w:marLeft w:val="0"/>
      <w:marRight w:val="0"/>
      <w:marTop w:val="0"/>
      <w:marBottom w:val="0"/>
      <w:divBdr>
        <w:top w:val="none" w:sz="0" w:space="0" w:color="auto"/>
        <w:left w:val="none" w:sz="0" w:space="0" w:color="auto"/>
        <w:bottom w:val="none" w:sz="0" w:space="0" w:color="auto"/>
        <w:right w:val="none" w:sz="0" w:space="0" w:color="auto"/>
      </w:divBdr>
    </w:div>
    <w:div w:id="1339889443">
      <w:bodyDiv w:val="1"/>
      <w:marLeft w:val="0"/>
      <w:marRight w:val="0"/>
      <w:marTop w:val="0"/>
      <w:marBottom w:val="0"/>
      <w:divBdr>
        <w:top w:val="none" w:sz="0" w:space="0" w:color="auto"/>
        <w:left w:val="none" w:sz="0" w:space="0" w:color="auto"/>
        <w:bottom w:val="none" w:sz="0" w:space="0" w:color="auto"/>
        <w:right w:val="none" w:sz="0" w:space="0" w:color="auto"/>
      </w:divBdr>
    </w:div>
    <w:div w:id="1475221341">
      <w:bodyDiv w:val="1"/>
      <w:marLeft w:val="0"/>
      <w:marRight w:val="0"/>
      <w:marTop w:val="0"/>
      <w:marBottom w:val="0"/>
      <w:divBdr>
        <w:top w:val="none" w:sz="0" w:space="0" w:color="auto"/>
        <w:left w:val="none" w:sz="0" w:space="0" w:color="auto"/>
        <w:bottom w:val="none" w:sz="0" w:space="0" w:color="auto"/>
        <w:right w:val="none" w:sz="0" w:space="0" w:color="auto"/>
      </w:divBdr>
    </w:div>
    <w:div w:id="1538422753">
      <w:bodyDiv w:val="1"/>
      <w:marLeft w:val="0"/>
      <w:marRight w:val="0"/>
      <w:marTop w:val="0"/>
      <w:marBottom w:val="0"/>
      <w:divBdr>
        <w:top w:val="none" w:sz="0" w:space="0" w:color="auto"/>
        <w:left w:val="none" w:sz="0" w:space="0" w:color="auto"/>
        <w:bottom w:val="none" w:sz="0" w:space="0" w:color="auto"/>
        <w:right w:val="none" w:sz="0" w:space="0" w:color="auto"/>
      </w:divBdr>
    </w:div>
    <w:div w:id="1741516316">
      <w:bodyDiv w:val="1"/>
      <w:marLeft w:val="0"/>
      <w:marRight w:val="0"/>
      <w:marTop w:val="0"/>
      <w:marBottom w:val="0"/>
      <w:divBdr>
        <w:top w:val="none" w:sz="0" w:space="0" w:color="auto"/>
        <w:left w:val="none" w:sz="0" w:space="0" w:color="auto"/>
        <w:bottom w:val="none" w:sz="0" w:space="0" w:color="auto"/>
        <w:right w:val="none" w:sz="0" w:space="0" w:color="auto"/>
      </w:divBdr>
    </w:div>
    <w:div w:id="1762295794">
      <w:bodyDiv w:val="1"/>
      <w:marLeft w:val="0"/>
      <w:marRight w:val="0"/>
      <w:marTop w:val="0"/>
      <w:marBottom w:val="0"/>
      <w:divBdr>
        <w:top w:val="none" w:sz="0" w:space="0" w:color="auto"/>
        <w:left w:val="none" w:sz="0" w:space="0" w:color="auto"/>
        <w:bottom w:val="none" w:sz="0" w:space="0" w:color="auto"/>
        <w:right w:val="none" w:sz="0" w:space="0" w:color="auto"/>
      </w:divBdr>
    </w:div>
    <w:div w:id="1762489856">
      <w:bodyDiv w:val="1"/>
      <w:marLeft w:val="0"/>
      <w:marRight w:val="0"/>
      <w:marTop w:val="0"/>
      <w:marBottom w:val="0"/>
      <w:divBdr>
        <w:top w:val="none" w:sz="0" w:space="0" w:color="auto"/>
        <w:left w:val="none" w:sz="0" w:space="0" w:color="auto"/>
        <w:bottom w:val="none" w:sz="0" w:space="0" w:color="auto"/>
        <w:right w:val="none" w:sz="0" w:space="0" w:color="auto"/>
      </w:divBdr>
    </w:div>
    <w:div w:id="1886023192">
      <w:bodyDiv w:val="1"/>
      <w:marLeft w:val="0"/>
      <w:marRight w:val="0"/>
      <w:marTop w:val="0"/>
      <w:marBottom w:val="0"/>
      <w:divBdr>
        <w:top w:val="none" w:sz="0" w:space="0" w:color="auto"/>
        <w:left w:val="none" w:sz="0" w:space="0" w:color="auto"/>
        <w:bottom w:val="none" w:sz="0" w:space="0" w:color="auto"/>
        <w:right w:val="none" w:sz="0" w:space="0" w:color="auto"/>
      </w:divBdr>
    </w:div>
    <w:div w:id="2035886702">
      <w:bodyDiv w:val="1"/>
      <w:marLeft w:val="0"/>
      <w:marRight w:val="0"/>
      <w:marTop w:val="0"/>
      <w:marBottom w:val="0"/>
      <w:divBdr>
        <w:top w:val="none" w:sz="0" w:space="0" w:color="auto"/>
        <w:left w:val="none" w:sz="0" w:space="0" w:color="auto"/>
        <w:bottom w:val="none" w:sz="0" w:space="0" w:color="auto"/>
        <w:right w:val="none" w:sz="0" w:space="0" w:color="auto"/>
      </w:divBdr>
    </w:div>
    <w:div w:id="2051614639">
      <w:bodyDiv w:val="1"/>
      <w:marLeft w:val="0"/>
      <w:marRight w:val="0"/>
      <w:marTop w:val="0"/>
      <w:marBottom w:val="0"/>
      <w:divBdr>
        <w:top w:val="none" w:sz="0" w:space="0" w:color="auto"/>
        <w:left w:val="none" w:sz="0" w:space="0" w:color="auto"/>
        <w:bottom w:val="none" w:sz="0" w:space="0" w:color="auto"/>
        <w:right w:val="none" w:sz="0" w:space="0" w:color="auto"/>
      </w:divBdr>
    </w:div>
    <w:div w:id="2068794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s://www.orangescrum.com/resource-management" TargetMode="External"/><Relationship Id="rId14" Type="http://schemas.openxmlformats.org/officeDocument/2006/relationships/hyperlink" Target="https://www.orangescrum.com/resource-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5c798f1-d075-4c36-b7a4-617d8175f4e7">
      <UserInfo>
        <DisplayName>Sanjana Lagudu</DisplayName>
        <AccountId>13</AccountId>
        <AccountType/>
      </UserInfo>
      <UserInfo>
        <DisplayName>Amal Antony</DisplayName>
        <AccountId>16</AccountId>
        <AccountType/>
      </UserInfo>
    </SharedWithUsers>
    <lcf76f155ced4ddcb4097134ff3c332f xmlns="9086d4b3-fd0e-4d07-ac61-60a805d5eee7">
      <Terms xmlns="http://schemas.microsoft.com/office/infopath/2007/PartnerControls"/>
    </lcf76f155ced4ddcb4097134ff3c332f>
    <TaxCatchAll xmlns="c5c798f1-d075-4c36-b7a4-617d8175f4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7A49BB682A2E49BC00C08EE2C2602E" ma:contentTypeVersion="14" ma:contentTypeDescription="Create a new document." ma:contentTypeScope="" ma:versionID="7b70cdd47e36892986e7c088e6363a05">
  <xsd:schema xmlns:xsd="http://www.w3.org/2001/XMLSchema" xmlns:xs="http://www.w3.org/2001/XMLSchema" xmlns:p="http://schemas.microsoft.com/office/2006/metadata/properties" xmlns:ns2="9086d4b3-fd0e-4d07-ac61-60a805d5eee7" xmlns:ns3="c5c798f1-d075-4c36-b7a4-617d8175f4e7" targetNamespace="http://schemas.microsoft.com/office/2006/metadata/properties" ma:root="true" ma:fieldsID="293773edcc918665e6def7ccf676b8e8" ns2:_="" ns3:_="">
    <xsd:import namespace="9086d4b3-fd0e-4d07-ac61-60a805d5eee7"/>
    <xsd:import namespace="c5c798f1-d075-4c36-b7a4-617d8175f4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d4b3-fd0e-4d07-ac61-60a805d5e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6ba45a-bfc0-4d61-8fee-2f66d44e830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798f1-d075-4c36-b7a4-617d8175f4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bd8ee3-d7cf-498a-846d-108f4dbb9e2a}" ma:internalName="TaxCatchAll" ma:showField="CatchAllData" ma:web="c5c798f1-d075-4c36-b7a4-617d8175f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8CF21-E17E-4FB2-AA46-8C7B6A9BB4FB}">
  <ds:schemaRefs>
    <ds:schemaRef ds:uri="http://schemas.microsoft.com/sharepoint/v3/contenttype/forms"/>
  </ds:schemaRefs>
</ds:datastoreItem>
</file>

<file path=customXml/itemProps2.xml><?xml version="1.0" encoding="utf-8"?>
<ds:datastoreItem xmlns:ds="http://schemas.openxmlformats.org/officeDocument/2006/customXml" ds:itemID="{0314AE32-5B41-4809-8ABE-5BBE6D1634CD}">
  <ds:schemaRefs>
    <ds:schemaRef ds:uri="http://schemas.microsoft.com/office/2006/metadata/properties"/>
    <ds:schemaRef ds:uri="http://schemas.microsoft.com/office/infopath/2007/PartnerControls"/>
    <ds:schemaRef ds:uri="c5c798f1-d075-4c36-b7a4-617d8175f4e7"/>
  </ds:schemaRefs>
</ds:datastoreItem>
</file>

<file path=customXml/itemProps3.xml><?xml version="1.0" encoding="utf-8"?>
<ds:datastoreItem xmlns:ds="http://schemas.openxmlformats.org/officeDocument/2006/customXml" ds:itemID="{0A56B443-AA04-4FE2-B5B6-41E9EB197F05}"/>
</file>

<file path=customXml/itemProps4.xml><?xml version="1.0" encoding="utf-8"?>
<ds:datastoreItem xmlns:ds="http://schemas.openxmlformats.org/officeDocument/2006/customXml" ds:itemID="{AB5BE2FE-169B-4CB2-A37F-E94DAA39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4098</Words>
  <Characters>23365</Characters>
  <Application>Microsoft Office Word</Application>
  <DocSecurity>4</DocSecurity>
  <Lines>194</Lines>
  <Paragraphs>54</Paragraphs>
  <ScaleCrop>false</ScaleCrop>
  <Company/>
  <LinksUpToDate>false</LinksUpToDate>
  <CharactersWithSpaces>27409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Sumedha Chatterjee</dc:creator>
  <cp:keywords/>
  <dc:description/>
  <cp:lastModifiedBy>Amal Antony</cp:lastModifiedBy>
  <cp:revision>270</cp:revision>
  <dcterms:created xsi:type="dcterms:W3CDTF">2023-11-17T23:49:00Z</dcterms:created>
  <dcterms:modified xsi:type="dcterms:W3CDTF">2024-01-03T10:44:00Z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0x010100B87A49BB682A2E49BC00C08EE2C2602E</vt:lpwstr>
  </property>
</Properties>
</file>